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0E" w:rsidRPr="002E3EC6" w:rsidRDefault="00415B0E" w:rsidP="00415B0E">
      <w:pPr>
        <w:spacing w:line="360" w:lineRule="auto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E3EC6">
        <w:rPr>
          <w:rFonts w:ascii="Arial" w:eastAsia="Calibri" w:hAnsi="Arial" w:cs="Arial"/>
          <w:bCs/>
          <w:sz w:val="24"/>
          <w:szCs w:val="24"/>
          <w:lang w:eastAsia="en-US"/>
        </w:rPr>
        <w:t xml:space="preserve">Guía orientadora del tema </w:t>
      </w:r>
      <w:r w:rsidR="008B7A31">
        <w:rPr>
          <w:rFonts w:ascii="Arial" w:eastAsia="Calibri" w:hAnsi="Arial" w:cs="Arial"/>
          <w:bCs/>
          <w:sz w:val="24"/>
          <w:szCs w:val="24"/>
          <w:lang w:eastAsia="en-US"/>
        </w:rPr>
        <w:t>5</w:t>
      </w:r>
    </w:p>
    <w:p w:rsidR="00415B0E" w:rsidRPr="002E3EC6" w:rsidRDefault="00415B0E" w:rsidP="00415B0E">
      <w:pPr>
        <w:spacing w:line="360" w:lineRule="auto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8B7A31" w:rsidRDefault="00415B0E" w:rsidP="00415B0E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E3EC6">
        <w:rPr>
          <w:rFonts w:ascii="Arial" w:eastAsia="Calibri" w:hAnsi="Arial" w:cs="Arial"/>
          <w:bCs/>
          <w:sz w:val="24"/>
          <w:szCs w:val="24"/>
          <w:lang w:eastAsia="en-US"/>
        </w:rPr>
        <w:t>Título.</w:t>
      </w:r>
      <w:r w:rsidR="00495A39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8B7A31">
        <w:rPr>
          <w:rFonts w:ascii="Arial" w:eastAsia="Calibri" w:hAnsi="Arial" w:cs="Arial"/>
          <w:bCs/>
          <w:sz w:val="24"/>
          <w:szCs w:val="24"/>
          <w:lang w:eastAsia="en-US"/>
        </w:rPr>
        <w:t xml:space="preserve">Utilidad terapéutica de la </w:t>
      </w:r>
      <w:r w:rsidR="008B7A31" w:rsidRPr="00D42F77">
        <w:rPr>
          <w:rFonts w:ascii="Arial" w:hAnsi="Arial" w:cs="Arial"/>
          <w:bCs/>
          <w:sz w:val="24"/>
          <w:szCs w:val="24"/>
        </w:rPr>
        <w:t>T</w:t>
      </w:r>
      <w:r w:rsidR="008B7A31">
        <w:rPr>
          <w:rFonts w:ascii="Arial" w:hAnsi="Arial" w:cs="Arial"/>
          <w:bCs/>
          <w:sz w:val="24"/>
          <w:szCs w:val="24"/>
        </w:rPr>
        <w:t>B</w:t>
      </w:r>
      <w:r w:rsidR="008B7A31" w:rsidRPr="00D42F77">
        <w:rPr>
          <w:rFonts w:ascii="Arial" w:hAnsi="Arial" w:cs="Arial"/>
          <w:bCs/>
          <w:sz w:val="24"/>
          <w:szCs w:val="24"/>
        </w:rPr>
        <w:t>A</w:t>
      </w:r>
      <w:r w:rsidR="008B7A31" w:rsidRPr="002044B0">
        <w:rPr>
          <w:rFonts w:ascii="Arial" w:hAnsi="Arial" w:cs="Arial"/>
          <w:sz w:val="24"/>
          <w:szCs w:val="24"/>
        </w:rPr>
        <w:t xml:space="preserve"> </w:t>
      </w:r>
      <w:r w:rsidR="008B7A31">
        <w:rPr>
          <w:rFonts w:ascii="Arial" w:hAnsi="Arial" w:cs="Arial"/>
          <w:sz w:val="24"/>
          <w:szCs w:val="24"/>
        </w:rPr>
        <w:t>en el estrabismo.</w:t>
      </w:r>
      <w:r w:rsidR="008B7A3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:rsidR="008B7A31" w:rsidRDefault="00C26859" w:rsidP="008B7A31">
      <w:pPr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74C2C">
        <w:rPr>
          <w:rFonts w:ascii="Arial" w:hAnsi="Arial" w:cs="Arial"/>
          <w:sz w:val="24"/>
          <w:szCs w:val="24"/>
        </w:rPr>
        <w:t>El estrabismo paralítico puede ocurrir por la afección de uno de los tres pares craneales que inervan los músculos extraoculares (III, IV o VI par), por daño del músculo o de la unión neuromuscular</w:t>
      </w:r>
      <w:r>
        <w:rPr>
          <w:rFonts w:ascii="Arial" w:hAnsi="Arial" w:cs="Arial"/>
          <w:sz w:val="24"/>
          <w:szCs w:val="24"/>
        </w:rPr>
        <w:t>, como se ve en la Miastenia Grave</w:t>
      </w:r>
      <w:r w:rsidRPr="00574C2C">
        <w:rPr>
          <w:rFonts w:ascii="Arial" w:hAnsi="Arial" w:cs="Arial"/>
          <w:sz w:val="24"/>
          <w:szCs w:val="24"/>
        </w:rPr>
        <w:t>. La paresia es la pérdida parcial y la parálisis la pérdida total de la función del músculo.</w:t>
      </w:r>
      <w:r w:rsidRPr="00574C2C">
        <w:rPr>
          <w:rFonts w:ascii="Arial" w:hAnsi="Arial" w:cs="Arial"/>
          <w:sz w:val="24"/>
          <w:szCs w:val="24"/>
          <w:vertAlign w:val="superscript"/>
        </w:rPr>
        <w:t>1-</w:t>
      </w:r>
      <w:r>
        <w:rPr>
          <w:rFonts w:ascii="Arial" w:hAnsi="Arial" w:cs="Arial"/>
          <w:sz w:val="24"/>
          <w:szCs w:val="24"/>
          <w:vertAlign w:val="superscript"/>
        </w:rPr>
        <w:t>4</w:t>
      </w:r>
    </w:p>
    <w:p w:rsidR="008B7A31" w:rsidRDefault="008B7A31" w:rsidP="008B7A31">
      <w:pPr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4359F">
        <w:rPr>
          <w:rFonts w:ascii="Arial" w:eastAsia="Calibri" w:hAnsi="Arial" w:cs="Arial"/>
          <w:bCs/>
          <w:sz w:val="24"/>
          <w:szCs w:val="24"/>
          <w:lang w:eastAsia="en-US"/>
        </w:rPr>
        <w:t>Objetivos temáticos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. Evaluar el efecto terapéutico de la droga sobre el músculo antagonista </w:t>
      </w:r>
      <w:r w:rsidR="00C26859">
        <w:rPr>
          <w:rFonts w:ascii="Arial" w:eastAsia="Calibri" w:hAnsi="Arial" w:cs="Arial"/>
          <w:bCs/>
          <w:sz w:val="24"/>
          <w:szCs w:val="24"/>
          <w:lang w:eastAsia="en-US"/>
        </w:rPr>
        <w:t>del afectado, el cual está hiperfuncionante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:rsidR="008B7A31" w:rsidRDefault="008B7A31" w:rsidP="008B7A31">
      <w:pPr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4359F">
        <w:rPr>
          <w:rFonts w:ascii="Arial" w:eastAsia="Calibri" w:hAnsi="Arial" w:cs="Arial"/>
          <w:bCs/>
          <w:sz w:val="24"/>
          <w:szCs w:val="24"/>
          <w:lang w:eastAsia="en-US"/>
        </w:rPr>
        <w:t>Contenidos:</w:t>
      </w:r>
      <w:r w:rsidRPr="00A32C4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Clasificación. Estudio sensorial</w:t>
      </w:r>
      <w:r w:rsidRPr="00A32C4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del estrabismo paralítico. Decisiones terapéuticas, en cuanto al músculo que va a recibir la inyección de TBA, en cada caso. Definir si la afectación es de los nervios, </w:t>
      </w:r>
      <w:r w:rsidR="00B946AB">
        <w:rPr>
          <w:rFonts w:ascii="Arial" w:eastAsia="Calibri" w:hAnsi="Arial" w:cs="Arial"/>
          <w:bCs/>
          <w:sz w:val="24"/>
          <w:szCs w:val="24"/>
          <w:lang w:eastAsia="en-US"/>
        </w:rPr>
        <w:t>d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el músculo o </w:t>
      </w:r>
      <w:r w:rsidR="00B946AB">
        <w:rPr>
          <w:rFonts w:ascii="Arial" w:eastAsia="Calibri" w:hAnsi="Arial" w:cs="Arial"/>
          <w:bCs/>
          <w:sz w:val="24"/>
          <w:szCs w:val="24"/>
          <w:lang w:eastAsia="en-US"/>
        </w:rPr>
        <w:t xml:space="preserve">de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la unión neuromuscular.  </w:t>
      </w:r>
    </w:p>
    <w:p w:rsidR="00B946AB" w:rsidRDefault="008B7A31" w:rsidP="00B946AB">
      <w:pPr>
        <w:pStyle w:val="BodyText2"/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Actividades.</w:t>
      </w:r>
      <w:r w:rsidRPr="00165D7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686386">
        <w:rPr>
          <w:rFonts w:ascii="Arial" w:eastAsia="Calibri" w:hAnsi="Arial" w:cs="Arial"/>
          <w:bCs/>
          <w:sz w:val="24"/>
          <w:szCs w:val="24"/>
          <w:lang w:eastAsia="en-US"/>
        </w:rPr>
        <w:t>Conferencia teórica (</w:t>
      </w:r>
      <w:proofErr w:type="spellStart"/>
      <w:r w:rsidRPr="00686386">
        <w:rPr>
          <w:rFonts w:ascii="Arial" w:eastAsia="Calibri" w:hAnsi="Arial" w:cs="Arial"/>
          <w:bCs/>
          <w:sz w:val="24"/>
          <w:szCs w:val="24"/>
          <w:lang w:eastAsia="en-US"/>
        </w:rPr>
        <w:t>Power</w:t>
      </w:r>
      <w:proofErr w:type="spellEnd"/>
      <w:r w:rsidRPr="00686386">
        <w:rPr>
          <w:rFonts w:ascii="Arial" w:eastAsia="Calibri" w:hAnsi="Arial" w:cs="Arial"/>
          <w:bCs/>
          <w:sz w:val="24"/>
          <w:szCs w:val="24"/>
          <w:lang w:eastAsia="en-US"/>
        </w:rPr>
        <w:t xml:space="preserve"> Point) sobre l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a MG. Se muestran diapositivas con los resultados obtenidos que  muestran la foto del paciente an</w:t>
      </w:r>
      <w:r w:rsidR="001908DC">
        <w:rPr>
          <w:rFonts w:ascii="Arial" w:eastAsia="Calibri" w:hAnsi="Arial" w:cs="Arial"/>
          <w:bCs/>
          <w:sz w:val="24"/>
          <w:szCs w:val="24"/>
          <w:lang w:eastAsia="en-US"/>
        </w:rPr>
        <w:t xml:space="preserve">tes y después del tratamiento. </w:t>
      </w:r>
      <w:bookmarkStart w:id="0" w:name="_GoBack"/>
      <w:r w:rsidR="00B946AB">
        <w:rPr>
          <w:rFonts w:ascii="Arial" w:eastAsia="Calibri" w:hAnsi="Arial" w:cs="Arial"/>
          <w:bCs/>
          <w:sz w:val="24"/>
          <w:szCs w:val="24"/>
          <w:lang w:eastAsia="en-US"/>
        </w:rPr>
        <w:t>Se recomienda que los alumnos vean la conferencia, revisen la bibliografía y si tienen dudas pueden consultar a los profesores del curso.</w:t>
      </w:r>
    </w:p>
    <w:bookmarkEnd w:id="0"/>
    <w:p w:rsidR="008825D0" w:rsidRDefault="008B7A31" w:rsidP="008B7A31">
      <w:pPr>
        <w:pStyle w:val="NormalWeb"/>
        <w:spacing w:after="0" w:afterAutospacing="0" w:line="360" w:lineRule="auto"/>
        <w:jc w:val="both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Bibliografía básica. Se hace un hipervínculo al capítulo I y III de la tesis doctoral situada en el repositorio de Infomed</w:t>
      </w:r>
      <w:r w:rsidR="008825D0">
        <w:rPr>
          <w:rFonts w:ascii="Arial" w:eastAsia="Calibri" w:hAnsi="Arial" w:cs="Arial"/>
          <w:bCs/>
          <w:lang w:eastAsia="en-US"/>
        </w:rPr>
        <w:t>.</w:t>
      </w:r>
    </w:p>
    <w:p w:rsidR="00B946AB" w:rsidRPr="00B946AB" w:rsidRDefault="008825D0" w:rsidP="00B946AB">
      <w:pPr>
        <w:pStyle w:val="BodyText2"/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946AB">
        <w:rPr>
          <w:rFonts w:ascii="Arial" w:eastAsia="Calibri" w:hAnsi="Arial" w:cs="Arial"/>
          <w:bCs/>
          <w:sz w:val="24"/>
          <w:szCs w:val="24"/>
          <w:lang w:val="es-ES" w:eastAsia="en-US"/>
        </w:rPr>
        <w:t>Bibliografía complementaria</w:t>
      </w:r>
      <w:r w:rsidR="008B7A31">
        <w:rPr>
          <w:rFonts w:ascii="Arial" w:eastAsia="Calibri" w:hAnsi="Arial" w:cs="Arial"/>
          <w:bCs/>
          <w:lang w:eastAsia="en-US"/>
        </w:rPr>
        <w:t xml:space="preserve">. </w:t>
      </w:r>
    </w:p>
    <w:p w:rsidR="00B946AB" w:rsidRDefault="00B946AB" w:rsidP="00B946AB">
      <w:pPr>
        <w:pStyle w:val="BodyText2"/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Cáceres M. Toxina botulínica A en el músculo recto superior para la corrección de la retracción palpebral.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Rev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Cubana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Oftalmol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2015, 8(2)</w:t>
      </w:r>
    </w:p>
    <w:p w:rsidR="00B946AB" w:rsidRDefault="00B946AB" w:rsidP="00B946AB">
      <w:pPr>
        <w:pStyle w:val="BodyText2"/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Cáceres M. Tratamiento del estrabismo paralítico con toxina botulínica A. Volumen 30, Número 2 (2017). </w:t>
      </w:r>
    </w:p>
    <w:p w:rsidR="00415B0E" w:rsidRDefault="00415B0E" w:rsidP="002E3EC6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Actividades.</w:t>
      </w:r>
      <w:r w:rsidRPr="00165D7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Se adjunta un video animado que expone, de forma esquemática, la administración de la TBA en el músculo </w:t>
      </w:r>
      <w:r w:rsidR="006F021E">
        <w:rPr>
          <w:rFonts w:ascii="Arial" w:eastAsia="Calibri" w:hAnsi="Arial" w:cs="Arial"/>
          <w:bCs/>
          <w:sz w:val="24"/>
          <w:szCs w:val="24"/>
          <w:lang w:eastAsia="en-US"/>
        </w:rPr>
        <w:t>antagonista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. Se muestran diapositivas con los resultados obtenidos que muestran la foto del paciente antes y después del tratamiento.  </w:t>
      </w:r>
    </w:p>
    <w:p w:rsidR="00C31787" w:rsidRDefault="00B946AB" w:rsidP="00C26859">
      <w:pPr>
        <w:spacing w:line="360" w:lineRule="auto"/>
        <w:jc w:val="both"/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Evaluación. </w:t>
      </w:r>
      <w:r w:rsidRPr="00686386">
        <w:rPr>
          <w:rFonts w:ascii="Arial" w:eastAsia="Calibri" w:hAnsi="Arial" w:cs="Arial"/>
          <w:bCs/>
          <w:sz w:val="24"/>
          <w:szCs w:val="24"/>
          <w:lang w:eastAsia="en-US"/>
        </w:rPr>
        <w:t xml:space="preserve">Se realizará un examen de comprobación de conocimientos donde el alumno debe seleccionar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la respuesta correcta.</w:t>
      </w:r>
    </w:p>
    <w:sectPr w:rsidR="00C317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47AB1"/>
    <w:multiLevelType w:val="hybridMultilevel"/>
    <w:tmpl w:val="F95CC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0E"/>
    <w:rsid w:val="001908DC"/>
    <w:rsid w:val="002E3EC6"/>
    <w:rsid w:val="00415B0E"/>
    <w:rsid w:val="00495A39"/>
    <w:rsid w:val="00614664"/>
    <w:rsid w:val="006F021E"/>
    <w:rsid w:val="00725836"/>
    <w:rsid w:val="008825D0"/>
    <w:rsid w:val="008B7A31"/>
    <w:rsid w:val="00972C31"/>
    <w:rsid w:val="009D63F8"/>
    <w:rsid w:val="00A15A92"/>
    <w:rsid w:val="00A25B7F"/>
    <w:rsid w:val="00B946AB"/>
    <w:rsid w:val="00C26859"/>
    <w:rsid w:val="00C31787"/>
    <w:rsid w:val="00D27CF6"/>
    <w:rsid w:val="00F36921"/>
    <w:rsid w:val="00F8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Car,Car10"/>
    <w:basedOn w:val="Normal"/>
    <w:link w:val="NormalWebChar"/>
    <w:rsid w:val="002E3EC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Strong">
    <w:name w:val="Strong"/>
    <w:qFormat/>
    <w:rsid w:val="002E3EC6"/>
    <w:rPr>
      <w:rFonts w:cs="Times New Roman"/>
      <w:b/>
      <w:bCs/>
    </w:rPr>
  </w:style>
  <w:style w:type="character" w:customStyle="1" w:styleId="NormalWebChar">
    <w:name w:val="Normal (Web) Char"/>
    <w:aliases w:val="Car Char,Car10 Char"/>
    <w:link w:val="NormalWeb"/>
    <w:locked/>
    <w:rsid w:val="002E3EC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BodyText2">
    <w:name w:val="Body Text 2"/>
    <w:basedOn w:val="Normal"/>
    <w:link w:val="BodyText2Char"/>
    <w:semiHidden/>
    <w:unhideWhenUsed/>
    <w:rsid w:val="00B946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946AB"/>
    <w:rPr>
      <w:rFonts w:ascii="Times New Roman" w:eastAsia="Times New Roman" w:hAnsi="Times New Roman" w:cs="Times New Roman"/>
      <w:sz w:val="20"/>
      <w:szCs w:val="20"/>
      <w:lang w:val="es-ES_tradn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Car,Car10"/>
    <w:basedOn w:val="Normal"/>
    <w:link w:val="NormalWebChar"/>
    <w:rsid w:val="002E3EC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Strong">
    <w:name w:val="Strong"/>
    <w:qFormat/>
    <w:rsid w:val="002E3EC6"/>
    <w:rPr>
      <w:rFonts w:cs="Times New Roman"/>
      <w:b/>
      <w:bCs/>
    </w:rPr>
  </w:style>
  <w:style w:type="character" w:customStyle="1" w:styleId="NormalWebChar">
    <w:name w:val="Normal (Web) Char"/>
    <w:aliases w:val="Car Char,Car10 Char"/>
    <w:link w:val="NormalWeb"/>
    <w:locked/>
    <w:rsid w:val="002E3EC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BodyText2">
    <w:name w:val="Body Text 2"/>
    <w:basedOn w:val="Normal"/>
    <w:link w:val="BodyText2Char"/>
    <w:semiHidden/>
    <w:unhideWhenUsed/>
    <w:rsid w:val="00B946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946AB"/>
    <w:rPr>
      <w:rFonts w:ascii="Times New Roman" w:eastAsia="Times New Roman" w:hAnsi="Times New Roman" w:cs="Times New Roman"/>
      <w:sz w:val="20"/>
      <w:szCs w:val="20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 Alvarez</dc:creator>
  <cp:lastModifiedBy>Armando</cp:lastModifiedBy>
  <cp:revision>4</cp:revision>
  <dcterms:created xsi:type="dcterms:W3CDTF">2018-02-26T19:01:00Z</dcterms:created>
  <dcterms:modified xsi:type="dcterms:W3CDTF">2018-02-28T10:22:00Z</dcterms:modified>
</cp:coreProperties>
</file>