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Guía orientadora del tema </w:t>
      </w:r>
      <w:r w:rsidR="00800951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</w:p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00951" w:rsidRDefault="00415B0E" w:rsidP="00415B0E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>Título.</w:t>
      </w:r>
      <w:r w:rsidR="00495A3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00951">
        <w:rPr>
          <w:rFonts w:ascii="Arial" w:eastAsia="Calibri" w:hAnsi="Arial" w:cs="Arial"/>
          <w:bCs/>
          <w:sz w:val="24"/>
          <w:szCs w:val="24"/>
          <w:lang w:eastAsia="en-US"/>
        </w:rPr>
        <w:t xml:space="preserve">Utilidad terapéutica de la </w:t>
      </w:r>
      <w:r w:rsidR="00800951" w:rsidRPr="00D42F77">
        <w:rPr>
          <w:rFonts w:ascii="Arial" w:hAnsi="Arial" w:cs="Arial"/>
          <w:bCs/>
          <w:sz w:val="24"/>
          <w:szCs w:val="24"/>
        </w:rPr>
        <w:t>T</w:t>
      </w:r>
      <w:r w:rsidR="00800951">
        <w:rPr>
          <w:rFonts w:ascii="Arial" w:hAnsi="Arial" w:cs="Arial"/>
          <w:bCs/>
          <w:sz w:val="24"/>
          <w:szCs w:val="24"/>
        </w:rPr>
        <w:t>B</w:t>
      </w:r>
      <w:r w:rsidR="00800951" w:rsidRPr="00D42F77">
        <w:rPr>
          <w:rFonts w:ascii="Arial" w:hAnsi="Arial" w:cs="Arial"/>
          <w:bCs/>
          <w:sz w:val="24"/>
          <w:szCs w:val="24"/>
        </w:rPr>
        <w:t>A</w:t>
      </w:r>
      <w:r w:rsidR="00800951" w:rsidRPr="002044B0">
        <w:rPr>
          <w:rFonts w:ascii="Arial" w:hAnsi="Arial" w:cs="Arial"/>
          <w:sz w:val="24"/>
          <w:szCs w:val="24"/>
        </w:rPr>
        <w:t xml:space="preserve"> </w:t>
      </w:r>
      <w:r w:rsidR="00800951">
        <w:rPr>
          <w:rFonts w:ascii="Arial" w:hAnsi="Arial" w:cs="Arial"/>
          <w:sz w:val="24"/>
          <w:szCs w:val="24"/>
        </w:rPr>
        <w:t>en el Blefaroespasmo Esencial</w:t>
      </w:r>
      <w:r w:rsidR="0080095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685FC3" w:rsidRPr="00685FC3" w:rsidRDefault="002530D4" w:rsidP="00685FC3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 xml:space="preserve">El blefaroespasmo esencial benigno (BEB) es una </w:t>
      </w:r>
      <w:proofErr w:type="spellStart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>distonía</w:t>
      </w:r>
      <w:proofErr w:type="spellEnd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 xml:space="preserve"> facial bilateral. Se caracteriza por un aumento del parpadeo con espasmos involuntarios de los </w:t>
      </w:r>
      <w:proofErr w:type="spellStart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>protractores</w:t>
      </w:r>
      <w:proofErr w:type="spellEnd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 xml:space="preserve"> del párpado: orbicular, </w:t>
      </w:r>
      <w:proofErr w:type="spellStart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>procerus</w:t>
      </w:r>
      <w:proofErr w:type="spellEnd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 xml:space="preserve"> y </w:t>
      </w:r>
      <w:proofErr w:type="spellStart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>corrugador</w:t>
      </w:r>
      <w:proofErr w:type="spellEnd"/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 xml:space="preserve">. Este trastorno puede progresar hasta la ceguera funcional como consecuencia de la incapacidad de abrir </w:t>
      </w:r>
      <w:r w:rsidR="00685FC3">
        <w:rPr>
          <w:rFonts w:ascii="Arial" w:eastAsia="Calibri" w:hAnsi="Arial" w:cs="Arial"/>
          <w:bCs/>
          <w:sz w:val="24"/>
          <w:szCs w:val="24"/>
          <w:lang w:eastAsia="en-US"/>
        </w:rPr>
        <w:t>los párpados</w:t>
      </w:r>
      <w:r w:rsidRPr="00685FC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685FC3" w:rsidRPr="00685FC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800951" w:rsidRDefault="00800951" w:rsidP="0080095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Objetivos temáticos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Evaluar el efecto terapéutico de la droga sobre </w:t>
      </w:r>
      <w:r w:rsidR="002530D4">
        <w:rPr>
          <w:rFonts w:ascii="Arial" w:eastAsia="Calibri" w:hAnsi="Arial" w:cs="Arial"/>
          <w:bCs/>
          <w:sz w:val="24"/>
          <w:szCs w:val="24"/>
          <w:lang w:eastAsia="en-US"/>
        </w:rPr>
        <w:t xml:space="preserve">el espasmo de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los  músculos </w:t>
      </w:r>
      <w:r w:rsidR="002530D4" w:rsidRPr="002530D4">
        <w:rPr>
          <w:rFonts w:ascii="Arial" w:hAnsi="Arial" w:cs="Arial"/>
          <w:color w:val="000000"/>
          <w:sz w:val="24"/>
          <w:szCs w:val="24"/>
        </w:rPr>
        <w:t>orbi</w:t>
      </w:r>
      <w:r w:rsidR="002530D4">
        <w:rPr>
          <w:rFonts w:ascii="Arial" w:hAnsi="Arial" w:cs="Arial"/>
          <w:color w:val="000000"/>
          <w:sz w:val="24"/>
          <w:szCs w:val="24"/>
        </w:rPr>
        <w:t>cular</w:t>
      </w:r>
      <w:r w:rsidR="002530D4" w:rsidRPr="002530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530D4" w:rsidRPr="002530D4">
        <w:rPr>
          <w:rFonts w:ascii="Arial" w:hAnsi="Arial" w:cs="Arial"/>
          <w:color w:val="000000"/>
          <w:sz w:val="24"/>
          <w:szCs w:val="24"/>
        </w:rPr>
        <w:t>procerus</w:t>
      </w:r>
      <w:proofErr w:type="spellEnd"/>
      <w:r w:rsidR="002530D4" w:rsidRPr="002530D4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="002530D4" w:rsidRPr="002530D4">
        <w:rPr>
          <w:rFonts w:ascii="Arial" w:hAnsi="Arial" w:cs="Arial"/>
          <w:color w:val="000000"/>
          <w:sz w:val="24"/>
          <w:szCs w:val="24"/>
        </w:rPr>
        <w:t>corrugador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800951" w:rsidRDefault="00800951" w:rsidP="0080095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Contenidos: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100910">
        <w:rPr>
          <w:rFonts w:ascii="Arial" w:eastAsia="Calibri" w:hAnsi="Arial" w:cs="Arial"/>
          <w:bCs/>
          <w:sz w:val="24"/>
          <w:szCs w:val="24"/>
          <w:lang w:eastAsia="en-US"/>
        </w:rPr>
        <w:t>Clasificación. Estudio</w:t>
      </w:r>
      <w:r w:rsidR="00100910" w:rsidRPr="00A32C4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100910">
        <w:rPr>
          <w:rFonts w:ascii="Arial" w:eastAsia="Calibri" w:hAnsi="Arial" w:cs="Arial"/>
          <w:bCs/>
          <w:sz w:val="24"/>
          <w:szCs w:val="24"/>
          <w:lang w:eastAsia="en-US"/>
        </w:rPr>
        <w:t xml:space="preserve">del </w:t>
      </w:r>
      <w:r w:rsidR="00100910" w:rsidRPr="002C5B86">
        <w:rPr>
          <w:rFonts w:ascii="Arial" w:hAnsi="Arial" w:cs="Arial"/>
          <w:color w:val="000000"/>
          <w:sz w:val="24"/>
          <w:szCs w:val="24"/>
        </w:rPr>
        <w:t>BEB</w:t>
      </w:r>
      <w:r w:rsidR="00100910">
        <w:rPr>
          <w:rFonts w:ascii="Arial" w:eastAsia="Calibri" w:hAnsi="Arial" w:cs="Arial"/>
          <w:bCs/>
          <w:sz w:val="24"/>
          <w:szCs w:val="24"/>
          <w:lang w:eastAsia="en-US"/>
        </w:rPr>
        <w:t>. Decisiones terapéuticas, en cuanto la dosis de TBA a utilizar en cada caso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 </w:t>
      </w:r>
    </w:p>
    <w:p w:rsidR="00100910" w:rsidRDefault="00800951" w:rsidP="00100910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>Conferencia teórica (</w:t>
      </w:r>
      <w:proofErr w:type="spellStart"/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>Power</w:t>
      </w:r>
      <w:proofErr w:type="spellEnd"/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 Point) sobre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el tema 6. Se muestran diapositivas con los resultados obtenidos.  </w:t>
      </w:r>
      <w:r w:rsidR="00100910">
        <w:rPr>
          <w:rFonts w:ascii="Arial" w:eastAsia="Calibri" w:hAnsi="Arial" w:cs="Arial"/>
          <w:bCs/>
          <w:sz w:val="24"/>
          <w:szCs w:val="24"/>
          <w:lang w:eastAsia="en-US"/>
        </w:rPr>
        <w:t>Se recomienda que los alumnos vean la conferencia, revisen la bibliografía y si tienen dudas pueden consultar a los profesores del curso.</w:t>
      </w:r>
    </w:p>
    <w:p w:rsidR="00800951" w:rsidRDefault="00800951" w:rsidP="0080095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Bibliografía básica. Se inserta un archivo que contiene un resumen del capítulo 11 del libro de la Academia Americana de </w:t>
      </w:r>
      <w:r w:rsidR="000A696B">
        <w:rPr>
          <w:rFonts w:ascii="Arial" w:eastAsia="Calibri" w:hAnsi="Arial" w:cs="Arial"/>
          <w:bCs/>
          <w:sz w:val="24"/>
          <w:szCs w:val="24"/>
          <w:lang w:eastAsia="en-US"/>
        </w:rPr>
        <w:t>Oftalmología (AAO)</w:t>
      </w:r>
      <w:r w:rsidR="002530D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0A696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100910" w:rsidRDefault="00100910" w:rsidP="0080095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Bibliografía complementaria. </w:t>
      </w:r>
    </w:p>
    <w:p w:rsidR="002D150C" w:rsidRPr="002D150C" w:rsidRDefault="002D150C" w:rsidP="002D150C">
      <w:pPr>
        <w:pStyle w:val="Prrafodelista1"/>
        <w:numPr>
          <w:ilvl w:val="0"/>
          <w:numId w:val="1"/>
        </w:numPr>
        <w:spacing w:line="360" w:lineRule="auto"/>
        <w:ind w:right="-27"/>
        <w:jc w:val="both"/>
        <w:rPr>
          <w:rFonts w:ascii="Arial" w:eastAsia="Calibri" w:hAnsi="Arial" w:cs="Arial"/>
          <w:bCs/>
          <w:lang w:val="es-ES_tradnl" w:eastAsia="en-US"/>
        </w:rPr>
      </w:pP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Kaynak-Hekimhan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P.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Noncosmetic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periocular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therapeutic applications of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botulinum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toxin.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Middle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East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Afr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J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Ophthalmol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2010:113-20.</w:t>
      </w:r>
    </w:p>
    <w:p w:rsidR="002D150C" w:rsidRDefault="002D150C" w:rsidP="002D150C">
      <w:pPr>
        <w:pStyle w:val="Prrafodelista1"/>
        <w:numPr>
          <w:ilvl w:val="0"/>
          <w:numId w:val="1"/>
        </w:numPr>
        <w:spacing w:line="360" w:lineRule="auto"/>
        <w:ind w:right="-27"/>
        <w:jc w:val="both"/>
        <w:rPr>
          <w:rFonts w:ascii="Arial" w:eastAsia="Calibri" w:hAnsi="Arial" w:cs="Arial"/>
          <w:bCs/>
          <w:lang w:val="es-ES_tradnl" w:eastAsia="en-US"/>
        </w:rPr>
      </w:pP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Hornik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A,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Gruener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G, Jay W. Adverse Reactions from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Botulinum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Toxin Administration.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Neuro-Ophthalmology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2010:6–13. </w:t>
      </w:r>
    </w:p>
    <w:p w:rsidR="002D150C" w:rsidRPr="002D150C" w:rsidRDefault="002D150C" w:rsidP="002D150C">
      <w:pPr>
        <w:pStyle w:val="Prrafodelista1"/>
        <w:spacing w:line="360" w:lineRule="auto"/>
        <w:ind w:left="720" w:right="-27"/>
        <w:jc w:val="both"/>
        <w:rPr>
          <w:rFonts w:ascii="Arial" w:eastAsia="Calibri" w:hAnsi="Arial" w:cs="Arial"/>
          <w:bCs/>
          <w:lang w:val="es-ES_tradnl" w:eastAsia="en-US"/>
        </w:rPr>
      </w:pPr>
    </w:p>
    <w:p w:rsidR="00100910" w:rsidRDefault="00100910" w:rsidP="00100910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Evaluación.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Se realizará </w:t>
      </w:r>
      <w:r w:rsidR="006A2328">
        <w:rPr>
          <w:rFonts w:ascii="Arial" w:eastAsia="Calibri" w:hAnsi="Arial" w:cs="Arial"/>
          <w:bCs/>
          <w:sz w:val="24"/>
          <w:szCs w:val="24"/>
          <w:lang w:eastAsia="en-US"/>
        </w:rPr>
        <w:t>la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A2328" w:rsidRPr="00686386">
        <w:rPr>
          <w:rFonts w:ascii="Arial" w:eastAsia="Calibri" w:hAnsi="Arial" w:cs="Arial"/>
          <w:bCs/>
          <w:sz w:val="24"/>
          <w:szCs w:val="24"/>
          <w:lang w:eastAsia="en-US"/>
        </w:rPr>
        <w:t>comprobación</w:t>
      </w:r>
      <w:r w:rsidR="006A2328"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de conocimientos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través de un test de verdadero o falso.</w:t>
      </w:r>
      <w:bookmarkStart w:id="0" w:name="_GoBack"/>
      <w:bookmarkEnd w:id="0"/>
    </w:p>
    <w:p w:rsidR="008B7A31" w:rsidRDefault="008B7A31" w:rsidP="008B7A3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31787" w:rsidRDefault="00C31787" w:rsidP="00C26859">
      <w:pPr>
        <w:spacing w:line="360" w:lineRule="auto"/>
        <w:jc w:val="both"/>
      </w:pPr>
    </w:p>
    <w:sectPr w:rsidR="00C31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325"/>
    <w:multiLevelType w:val="hybridMultilevel"/>
    <w:tmpl w:val="3814B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D23A8"/>
    <w:multiLevelType w:val="hybridMultilevel"/>
    <w:tmpl w:val="D04231DC"/>
    <w:lvl w:ilvl="0" w:tplc="C58E70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Times New Roman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0E"/>
    <w:rsid w:val="000A696B"/>
    <w:rsid w:val="00100910"/>
    <w:rsid w:val="00137D7D"/>
    <w:rsid w:val="002530D4"/>
    <w:rsid w:val="002D150C"/>
    <w:rsid w:val="002E3EC6"/>
    <w:rsid w:val="00415B0E"/>
    <w:rsid w:val="00495A39"/>
    <w:rsid w:val="00614664"/>
    <w:rsid w:val="00685FC3"/>
    <w:rsid w:val="006A2328"/>
    <w:rsid w:val="006F021E"/>
    <w:rsid w:val="00725836"/>
    <w:rsid w:val="00800951"/>
    <w:rsid w:val="008B7A31"/>
    <w:rsid w:val="00972C31"/>
    <w:rsid w:val="009D63F8"/>
    <w:rsid w:val="00A15A92"/>
    <w:rsid w:val="00A25B7F"/>
    <w:rsid w:val="00C26859"/>
    <w:rsid w:val="00C31787"/>
    <w:rsid w:val="00D27CF6"/>
    <w:rsid w:val="00E22E53"/>
    <w:rsid w:val="00F36921"/>
    <w:rsid w:val="00F84E41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1009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00910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ListParagraph">
    <w:name w:val="List Paragraph"/>
    <w:basedOn w:val="Normal"/>
    <w:uiPriority w:val="34"/>
    <w:qFormat/>
    <w:rsid w:val="002D150C"/>
    <w:pPr>
      <w:ind w:left="720"/>
      <w:contextualSpacing/>
    </w:pPr>
  </w:style>
  <w:style w:type="paragraph" w:customStyle="1" w:styleId="Prrafodelista1">
    <w:name w:val="Párrafo de lista1"/>
    <w:basedOn w:val="Normal"/>
    <w:rsid w:val="002D150C"/>
    <w:pPr>
      <w:ind w:left="708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1009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00910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ListParagraph">
    <w:name w:val="List Paragraph"/>
    <w:basedOn w:val="Normal"/>
    <w:uiPriority w:val="34"/>
    <w:qFormat/>
    <w:rsid w:val="002D150C"/>
    <w:pPr>
      <w:ind w:left="720"/>
      <w:contextualSpacing/>
    </w:pPr>
  </w:style>
  <w:style w:type="paragraph" w:customStyle="1" w:styleId="Prrafodelista1">
    <w:name w:val="Párrafo de lista1"/>
    <w:basedOn w:val="Normal"/>
    <w:rsid w:val="002D150C"/>
    <w:pPr>
      <w:ind w:left="708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Alvarez</dc:creator>
  <cp:lastModifiedBy>Armando</cp:lastModifiedBy>
  <cp:revision>7</cp:revision>
  <dcterms:created xsi:type="dcterms:W3CDTF">2018-02-26T18:30:00Z</dcterms:created>
  <dcterms:modified xsi:type="dcterms:W3CDTF">2018-02-28T17:52:00Z</dcterms:modified>
</cp:coreProperties>
</file>