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Guía orientadora del tema </w:t>
      </w:r>
      <w:r w:rsidR="00800951">
        <w:rPr>
          <w:rFonts w:ascii="Arial" w:eastAsia="Calibri" w:hAnsi="Arial" w:cs="Arial"/>
          <w:bCs/>
          <w:sz w:val="24"/>
          <w:szCs w:val="24"/>
          <w:lang w:eastAsia="en-US"/>
        </w:rPr>
        <w:t>6</w:t>
      </w:r>
    </w:p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800951" w:rsidRDefault="00415B0E" w:rsidP="00415B0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>Título.</w:t>
      </w:r>
      <w:r w:rsidR="00495A3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00951">
        <w:rPr>
          <w:rFonts w:ascii="Arial" w:eastAsia="Calibri" w:hAnsi="Arial" w:cs="Arial"/>
          <w:bCs/>
          <w:sz w:val="24"/>
          <w:szCs w:val="24"/>
          <w:lang w:eastAsia="en-US"/>
        </w:rPr>
        <w:t xml:space="preserve">Utilidad terapéutica de la </w:t>
      </w:r>
      <w:r w:rsidR="00800951" w:rsidRPr="00D42F77">
        <w:rPr>
          <w:rFonts w:ascii="Arial" w:hAnsi="Arial" w:cs="Arial"/>
          <w:bCs/>
          <w:sz w:val="24"/>
          <w:szCs w:val="24"/>
        </w:rPr>
        <w:t>T</w:t>
      </w:r>
      <w:r w:rsidR="00800951">
        <w:rPr>
          <w:rFonts w:ascii="Arial" w:hAnsi="Arial" w:cs="Arial"/>
          <w:bCs/>
          <w:sz w:val="24"/>
          <w:szCs w:val="24"/>
        </w:rPr>
        <w:t>B</w:t>
      </w:r>
      <w:r w:rsidR="00800951" w:rsidRPr="00D42F77">
        <w:rPr>
          <w:rFonts w:ascii="Arial" w:hAnsi="Arial" w:cs="Arial"/>
          <w:bCs/>
          <w:sz w:val="24"/>
          <w:szCs w:val="24"/>
        </w:rPr>
        <w:t>A</w:t>
      </w:r>
      <w:r w:rsidR="00800951" w:rsidRPr="002044B0">
        <w:rPr>
          <w:rFonts w:ascii="Arial" w:hAnsi="Arial" w:cs="Arial"/>
          <w:sz w:val="24"/>
          <w:szCs w:val="24"/>
        </w:rPr>
        <w:t xml:space="preserve"> </w:t>
      </w:r>
      <w:r w:rsidR="00800951">
        <w:rPr>
          <w:rFonts w:ascii="Arial" w:hAnsi="Arial" w:cs="Arial"/>
          <w:sz w:val="24"/>
          <w:szCs w:val="24"/>
        </w:rPr>
        <w:t>en el Blefaroespasmo Esencial</w:t>
      </w:r>
      <w:r w:rsidR="0080095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685FC3" w:rsidRPr="00685FC3" w:rsidRDefault="002530D4" w:rsidP="00685FC3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El blefaroespasmo esencial benigno (BEB) es una </w:t>
      </w:r>
      <w:proofErr w:type="spellStart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>distonía</w:t>
      </w:r>
      <w:proofErr w:type="spellEnd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 facial bilateral. Se caracteriza por un aumento del parpadeo con espasmos involuntarios de los </w:t>
      </w:r>
      <w:proofErr w:type="spellStart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>protractores</w:t>
      </w:r>
      <w:proofErr w:type="spellEnd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 del párpado: orbicular, </w:t>
      </w:r>
      <w:proofErr w:type="spellStart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>procerus</w:t>
      </w:r>
      <w:proofErr w:type="spellEnd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 y </w:t>
      </w:r>
      <w:proofErr w:type="spellStart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>corrugador</w:t>
      </w:r>
      <w:proofErr w:type="spellEnd"/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. Este trastorno puede progresar hasta la ceguera funcional como consecuencia de la incapacidad de abrir </w:t>
      </w:r>
      <w:r w:rsidR="00685FC3">
        <w:rPr>
          <w:rFonts w:ascii="Arial" w:eastAsia="Calibri" w:hAnsi="Arial" w:cs="Arial"/>
          <w:bCs/>
          <w:sz w:val="24"/>
          <w:szCs w:val="24"/>
          <w:lang w:eastAsia="en-US"/>
        </w:rPr>
        <w:t>los párpados</w:t>
      </w:r>
      <w:r w:rsidRPr="00685FC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685FC3" w:rsidRPr="00685FC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800951" w:rsidRDefault="00800951" w:rsidP="0080095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Objetivos temáticos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Evaluar el efecto terapéutico de la droga sobre </w:t>
      </w:r>
      <w:r w:rsidR="002530D4">
        <w:rPr>
          <w:rFonts w:ascii="Arial" w:eastAsia="Calibri" w:hAnsi="Arial" w:cs="Arial"/>
          <w:bCs/>
          <w:sz w:val="24"/>
          <w:szCs w:val="24"/>
          <w:lang w:eastAsia="en-US"/>
        </w:rPr>
        <w:t xml:space="preserve">el espasmo de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los  músculos </w:t>
      </w:r>
      <w:r w:rsidR="002530D4" w:rsidRPr="002530D4">
        <w:rPr>
          <w:rFonts w:ascii="Arial" w:hAnsi="Arial" w:cs="Arial"/>
          <w:color w:val="000000"/>
          <w:sz w:val="24"/>
          <w:szCs w:val="24"/>
        </w:rPr>
        <w:t>orbi</w:t>
      </w:r>
      <w:r w:rsidR="002530D4">
        <w:rPr>
          <w:rFonts w:ascii="Arial" w:hAnsi="Arial" w:cs="Arial"/>
          <w:color w:val="000000"/>
          <w:sz w:val="24"/>
          <w:szCs w:val="24"/>
        </w:rPr>
        <w:t>cular</w:t>
      </w:r>
      <w:r w:rsidR="002530D4" w:rsidRPr="002530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2530D4" w:rsidRPr="002530D4">
        <w:rPr>
          <w:rFonts w:ascii="Arial" w:hAnsi="Arial" w:cs="Arial"/>
          <w:color w:val="000000"/>
          <w:sz w:val="24"/>
          <w:szCs w:val="24"/>
        </w:rPr>
        <w:t>procerus</w:t>
      </w:r>
      <w:proofErr w:type="spellEnd"/>
      <w:r w:rsidR="002530D4" w:rsidRPr="002530D4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2530D4" w:rsidRPr="002530D4">
        <w:rPr>
          <w:rFonts w:ascii="Arial" w:hAnsi="Arial" w:cs="Arial"/>
          <w:color w:val="000000"/>
          <w:sz w:val="24"/>
          <w:szCs w:val="24"/>
        </w:rPr>
        <w:t>corrugador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800951" w:rsidRDefault="00800951" w:rsidP="0080095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00910">
        <w:rPr>
          <w:rFonts w:ascii="Arial" w:eastAsia="Calibri" w:hAnsi="Arial" w:cs="Arial"/>
          <w:bCs/>
          <w:sz w:val="24"/>
          <w:szCs w:val="24"/>
          <w:lang w:eastAsia="en-US"/>
        </w:rPr>
        <w:t>Clasificación. Estudio</w:t>
      </w:r>
      <w:r w:rsidR="00100910" w:rsidRPr="00A32C4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00910">
        <w:rPr>
          <w:rFonts w:ascii="Arial" w:eastAsia="Calibri" w:hAnsi="Arial" w:cs="Arial"/>
          <w:bCs/>
          <w:sz w:val="24"/>
          <w:szCs w:val="24"/>
          <w:lang w:eastAsia="en-US"/>
        </w:rPr>
        <w:t xml:space="preserve">del </w:t>
      </w:r>
      <w:r w:rsidR="00100910" w:rsidRPr="002C5B86">
        <w:rPr>
          <w:rFonts w:ascii="Arial" w:hAnsi="Arial" w:cs="Arial"/>
          <w:color w:val="000000"/>
          <w:sz w:val="24"/>
          <w:szCs w:val="24"/>
        </w:rPr>
        <w:t>BEB</w:t>
      </w:r>
      <w:r w:rsidR="00100910">
        <w:rPr>
          <w:rFonts w:ascii="Arial" w:eastAsia="Calibri" w:hAnsi="Arial" w:cs="Arial"/>
          <w:bCs/>
          <w:sz w:val="24"/>
          <w:szCs w:val="24"/>
          <w:lang w:eastAsia="en-US"/>
        </w:rPr>
        <w:t>. Decisiones terapéuticas, en cuanto la dosis de TBA a utilizar en cada caso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 </w:t>
      </w:r>
    </w:p>
    <w:p w:rsidR="00100910" w:rsidRDefault="00800951" w:rsidP="00100910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Conferencia teórica (</w:t>
      </w:r>
      <w:proofErr w:type="spellStart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>Power</w:t>
      </w:r>
      <w:proofErr w:type="spellEnd"/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 Point) sobre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el tema 6. Se muestran diapositivas con los resultados obtenidos.  </w:t>
      </w:r>
      <w:r w:rsidR="00100910"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vean la conferencia, revisen la bibliografía y si tienen dudas pueden consultar a los profesores del curso.</w:t>
      </w:r>
    </w:p>
    <w:p w:rsidR="00800951" w:rsidRDefault="00800951" w:rsidP="0080095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Bibliografía básica. Se inserta un archivo que contiene un resumen del capítulo 11 del libro de la Academia Americana de </w:t>
      </w:r>
      <w:r w:rsidR="000A696B">
        <w:rPr>
          <w:rFonts w:ascii="Arial" w:eastAsia="Calibri" w:hAnsi="Arial" w:cs="Arial"/>
          <w:bCs/>
          <w:sz w:val="24"/>
          <w:szCs w:val="24"/>
          <w:lang w:eastAsia="en-US"/>
        </w:rPr>
        <w:t>Oftalmología (AAO)</w:t>
      </w:r>
      <w:r w:rsidR="002530D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0A696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100910" w:rsidRDefault="00100910" w:rsidP="0080095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Bibliografía complementaria. </w:t>
      </w:r>
    </w:p>
    <w:p w:rsidR="002D150C" w:rsidRPr="002D150C" w:rsidRDefault="002D150C" w:rsidP="002D150C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Kaynak-Hekimhan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P.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Noncosmetic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periocular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therapeutic applications of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toxin.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Middle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East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Afr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J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Ophthalmol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2010:113-20.</w:t>
      </w:r>
    </w:p>
    <w:p w:rsidR="002D150C" w:rsidRDefault="002D150C" w:rsidP="002D150C">
      <w:pPr>
        <w:pStyle w:val="Prrafodelista1"/>
        <w:numPr>
          <w:ilvl w:val="0"/>
          <w:numId w:val="1"/>
        </w:numPr>
        <w:spacing w:line="360" w:lineRule="auto"/>
        <w:ind w:right="-27"/>
        <w:jc w:val="both"/>
        <w:rPr>
          <w:rFonts w:ascii="Arial" w:eastAsia="Calibri" w:hAnsi="Arial" w:cs="Arial"/>
          <w:bCs/>
          <w:lang w:val="es-ES_tradnl" w:eastAsia="en-US"/>
        </w:rPr>
      </w:pP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Hornik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A,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Gruener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G, Jay W. Adverse Reactions from </w:t>
      </w:r>
      <w:proofErr w:type="spellStart"/>
      <w:r w:rsidRPr="00685FC3">
        <w:rPr>
          <w:rFonts w:ascii="Arial" w:eastAsia="Calibri" w:hAnsi="Arial" w:cs="Arial"/>
          <w:bCs/>
          <w:lang w:val="en-US" w:eastAsia="en-US"/>
        </w:rPr>
        <w:t>Botulinum</w:t>
      </w:r>
      <w:proofErr w:type="spellEnd"/>
      <w:r w:rsidRPr="00685FC3">
        <w:rPr>
          <w:rFonts w:ascii="Arial" w:eastAsia="Calibri" w:hAnsi="Arial" w:cs="Arial"/>
          <w:bCs/>
          <w:lang w:val="en-US" w:eastAsia="en-US"/>
        </w:rPr>
        <w:t xml:space="preserve"> Toxin Administration. </w:t>
      </w:r>
      <w:proofErr w:type="spellStart"/>
      <w:r w:rsidRPr="002D150C">
        <w:rPr>
          <w:rFonts w:ascii="Arial" w:eastAsia="Calibri" w:hAnsi="Arial" w:cs="Arial"/>
          <w:bCs/>
          <w:lang w:val="es-ES_tradnl" w:eastAsia="en-US"/>
        </w:rPr>
        <w:t>Neuro-Ophthalmology</w:t>
      </w:r>
      <w:proofErr w:type="spellEnd"/>
      <w:r w:rsidRPr="002D150C">
        <w:rPr>
          <w:rFonts w:ascii="Arial" w:eastAsia="Calibri" w:hAnsi="Arial" w:cs="Arial"/>
          <w:bCs/>
          <w:lang w:val="es-ES_tradnl" w:eastAsia="en-US"/>
        </w:rPr>
        <w:t xml:space="preserve"> 2010:6–13. </w:t>
      </w:r>
    </w:p>
    <w:p w:rsidR="002D150C" w:rsidRPr="002D150C" w:rsidRDefault="002D150C" w:rsidP="002D150C">
      <w:pPr>
        <w:pStyle w:val="Prrafodelista1"/>
        <w:spacing w:line="360" w:lineRule="auto"/>
        <w:ind w:left="720" w:right="-27"/>
        <w:jc w:val="both"/>
        <w:rPr>
          <w:rFonts w:ascii="Arial" w:eastAsia="Calibri" w:hAnsi="Arial" w:cs="Arial"/>
          <w:bCs/>
          <w:lang w:val="es-ES_tradnl" w:eastAsia="en-US"/>
        </w:rPr>
      </w:pPr>
    </w:p>
    <w:p w:rsidR="00100910" w:rsidRDefault="00100910" w:rsidP="00100910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Se realizará </w:t>
      </w:r>
      <w:r w:rsidR="006A2328">
        <w:rPr>
          <w:rFonts w:ascii="Arial" w:eastAsia="Calibri" w:hAnsi="Arial" w:cs="Arial"/>
          <w:bCs/>
          <w:sz w:val="24"/>
          <w:szCs w:val="24"/>
          <w:lang w:eastAsia="en-US"/>
        </w:rPr>
        <w:t>la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A2328" w:rsidRPr="00686386">
        <w:rPr>
          <w:rFonts w:ascii="Arial" w:eastAsia="Calibri" w:hAnsi="Arial" w:cs="Arial"/>
          <w:bCs/>
          <w:sz w:val="24"/>
          <w:szCs w:val="24"/>
          <w:lang w:eastAsia="en-US"/>
        </w:rPr>
        <w:t>comprobación</w:t>
      </w:r>
      <w:r w:rsidR="006A2328"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86386">
        <w:rPr>
          <w:rFonts w:ascii="Arial" w:eastAsia="Calibri" w:hAnsi="Arial" w:cs="Arial"/>
          <w:bCs/>
          <w:sz w:val="24"/>
          <w:szCs w:val="24"/>
          <w:lang w:eastAsia="en-US"/>
        </w:rPr>
        <w:t xml:space="preserve">de conocimientos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través de un test de verdadero o falso.</w:t>
      </w:r>
      <w:bookmarkStart w:id="0" w:name="_GoBack"/>
      <w:bookmarkEnd w:id="0"/>
    </w:p>
    <w:p w:rsidR="008B7A31" w:rsidRDefault="008B7A31" w:rsidP="008B7A31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C31787" w:rsidRDefault="00C31787" w:rsidP="00C26859">
      <w:pPr>
        <w:spacing w:line="360" w:lineRule="auto"/>
        <w:jc w:val="both"/>
      </w:pPr>
    </w:p>
    <w:sectPr w:rsidR="00C31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4325"/>
    <w:multiLevelType w:val="hybridMultilevel"/>
    <w:tmpl w:val="3814B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D23A8"/>
    <w:multiLevelType w:val="hybridMultilevel"/>
    <w:tmpl w:val="D04231DC"/>
    <w:lvl w:ilvl="0" w:tplc="C58E70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Times New Roman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0E"/>
    <w:rsid w:val="000A696B"/>
    <w:rsid w:val="00100910"/>
    <w:rsid w:val="00137D7D"/>
    <w:rsid w:val="002530D4"/>
    <w:rsid w:val="002D150C"/>
    <w:rsid w:val="002E3EC6"/>
    <w:rsid w:val="00415B0E"/>
    <w:rsid w:val="00495A39"/>
    <w:rsid w:val="00614664"/>
    <w:rsid w:val="00685FC3"/>
    <w:rsid w:val="006A2328"/>
    <w:rsid w:val="006F021E"/>
    <w:rsid w:val="00725836"/>
    <w:rsid w:val="00800951"/>
    <w:rsid w:val="008B7A31"/>
    <w:rsid w:val="00972C31"/>
    <w:rsid w:val="009D63F8"/>
    <w:rsid w:val="00A15A92"/>
    <w:rsid w:val="00A25B7F"/>
    <w:rsid w:val="00C26859"/>
    <w:rsid w:val="00C31787"/>
    <w:rsid w:val="00D27CF6"/>
    <w:rsid w:val="00E22E53"/>
    <w:rsid w:val="00F36921"/>
    <w:rsid w:val="00F84E41"/>
    <w:rsid w:val="00FA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1009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0910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2D150C"/>
    <w:pPr>
      <w:ind w:left="720"/>
      <w:contextualSpacing/>
    </w:pPr>
  </w:style>
  <w:style w:type="paragraph" w:customStyle="1" w:styleId="Prrafodelista1">
    <w:name w:val="Párrafo de lista1"/>
    <w:basedOn w:val="Normal"/>
    <w:rsid w:val="002D150C"/>
    <w:pPr>
      <w:ind w:left="708"/>
    </w:pPr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1009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0910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paragraph" w:styleId="ListParagraph">
    <w:name w:val="List Paragraph"/>
    <w:basedOn w:val="Normal"/>
    <w:uiPriority w:val="34"/>
    <w:qFormat/>
    <w:rsid w:val="002D150C"/>
    <w:pPr>
      <w:ind w:left="720"/>
      <w:contextualSpacing/>
    </w:pPr>
  </w:style>
  <w:style w:type="paragraph" w:customStyle="1" w:styleId="Prrafodelista1">
    <w:name w:val="Párrafo de lista1"/>
    <w:basedOn w:val="Normal"/>
    <w:rsid w:val="002D150C"/>
    <w:pPr>
      <w:ind w:left="708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7</cp:revision>
  <dcterms:created xsi:type="dcterms:W3CDTF">2018-02-26T18:30:00Z</dcterms:created>
  <dcterms:modified xsi:type="dcterms:W3CDTF">2018-02-28T17:52:00Z</dcterms:modified>
</cp:coreProperties>
</file>