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Guía orientadora del tema </w:t>
      </w:r>
      <w:r w:rsidR="000119BF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</w:p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15B2A" w:rsidRDefault="00115B2A" w:rsidP="00115B2A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Título. Utilidad terapéutica de la </w:t>
      </w:r>
      <w:r w:rsidRPr="00D42F77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B</w:t>
      </w:r>
      <w:r w:rsidRPr="00D42F77">
        <w:rPr>
          <w:rFonts w:ascii="Arial" w:hAnsi="Arial" w:cs="Arial"/>
          <w:bCs/>
          <w:sz w:val="24"/>
          <w:szCs w:val="24"/>
        </w:rPr>
        <w:t>A</w:t>
      </w:r>
      <w:r w:rsidRPr="002044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el lagoftalmos paralítico.</w:t>
      </w:r>
    </w:p>
    <w:p w:rsidR="00115B2A" w:rsidRPr="0062171E" w:rsidRDefault="00115B2A" w:rsidP="00115B2A">
      <w:pPr>
        <w:autoSpaceDE w:val="0"/>
        <w:autoSpaceDN w:val="0"/>
        <w:adjustRightInd w:val="0"/>
        <w:spacing w:line="360" w:lineRule="auto"/>
        <w:ind w:left="28"/>
        <w:jc w:val="both"/>
        <w:rPr>
          <w:rFonts w:ascii="Arial" w:hAnsi="Arial" w:cs="Arial"/>
          <w:sz w:val="24"/>
          <w:szCs w:val="24"/>
        </w:rPr>
      </w:pPr>
      <w:r w:rsidRPr="0062171E">
        <w:rPr>
          <w:rFonts w:ascii="Arial" w:hAnsi="Arial" w:cs="Arial"/>
          <w:sz w:val="24"/>
          <w:szCs w:val="24"/>
        </w:rPr>
        <w:t xml:space="preserve">El ectropión paralítico suele aparecer tras una parálisis del VII par craneal. Suele aparecer un lagoftalmos simultáneo del párpado superior secundario </w:t>
      </w:r>
      <w:r>
        <w:rPr>
          <w:rFonts w:ascii="Arial" w:hAnsi="Arial" w:cs="Arial"/>
          <w:sz w:val="24"/>
          <w:szCs w:val="24"/>
        </w:rPr>
        <w:t>a la disfunción paralitica del</w:t>
      </w:r>
      <w:r w:rsidRPr="0062171E">
        <w:rPr>
          <w:rFonts w:ascii="Arial" w:hAnsi="Arial" w:cs="Arial"/>
          <w:sz w:val="24"/>
          <w:szCs w:val="24"/>
        </w:rPr>
        <w:t xml:space="preserve"> orbicular. Un parpadeo y cierre palpebral inadecuados producen una irritación crónica de la superficie ocular derivada de la exposición de la parte inferior de la córnea, acompañada de una mala reposición y distr</w:t>
      </w:r>
      <w:r>
        <w:rPr>
          <w:rFonts w:ascii="Arial" w:hAnsi="Arial" w:cs="Arial"/>
          <w:sz w:val="24"/>
          <w:szCs w:val="24"/>
        </w:rPr>
        <w:t>ibución de la película lagrimal</w:t>
      </w:r>
      <w:r w:rsidRPr="0062171E">
        <w:rPr>
          <w:rFonts w:ascii="Arial" w:hAnsi="Arial" w:cs="Arial"/>
          <w:sz w:val="24"/>
          <w:szCs w:val="24"/>
        </w:rPr>
        <w:t xml:space="preserve">. </w:t>
      </w:r>
    </w:p>
    <w:p w:rsidR="00115B2A" w:rsidRDefault="00115B2A" w:rsidP="00115B2A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Objetivos temáticos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 Evaluar el efecto terapéutico de la droga sobre el elevador del párpado superior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 xml:space="preserve"> y el músculo orbicular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, para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>bloquear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 xml:space="preserve">su función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y lograr la protección de la córnea.</w:t>
      </w:r>
    </w:p>
    <w:p w:rsidR="00115B2A" w:rsidRDefault="00115B2A" w:rsidP="00115B2A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 xml:space="preserve">Clasificación.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 xml:space="preserve">Etología del </w:t>
      </w:r>
      <w:r w:rsidR="00EA4D83">
        <w:rPr>
          <w:rFonts w:ascii="Arial" w:hAnsi="Arial" w:cs="Arial"/>
          <w:sz w:val="24"/>
          <w:szCs w:val="24"/>
        </w:rPr>
        <w:t>lagoftalmos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>. Decisiones terapéuticas, en cuanto la dosis de TBA a utilizar en cada caso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 </w:t>
      </w:r>
    </w:p>
    <w:p w:rsidR="00EA4D83" w:rsidRDefault="00115B2A" w:rsidP="00EA4D83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Conferencia teórica (</w:t>
      </w:r>
      <w:proofErr w:type="spellStart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Power</w:t>
      </w:r>
      <w:proofErr w:type="spellEnd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 Point) sobre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el tema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Se muestran diapositivas con los resultados obtenidos.  </w:t>
      </w:r>
      <w:r w:rsidR="00EA4D83">
        <w:rPr>
          <w:rFonts w:ascii="Arial" w:eastAsia="Calibri" w:hAnsi="Arial" w:cs="Arial"/>
          <w:bCs/>
          <w:sz w:val="24"/>
          <w:szCs w:val="24"/>
          <w:lang w:eastAsia="en-US"/>
        </w:rPr>
        <w:t>Se recomienda que los alumnos vean la conferencia, revisen la bibliografía y si tienen dudas pueden consultar a los profesores del curso.</w:t>
      </w:r>
    </w:p>
    <w:p w:rsidR="00EA4D83" w:rsidRDefault="00EA4D83" w:rsidP="00EA4D83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Bibliografía básica. Se inserta un archivo que contiene un resumen del capítulo 11 del libro de la Academia Americana de Oftalmología (AAO). </w:t>
      </w:r>
    </w:p>
    <w:p w:rsidR="00EA4D83" w:rsidRDefault="00EA4D83" w:rsidP="00EA4D83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Bibliografía complementaria. </w:t>
      </w:r>
    </w:p>
    <w:p w:rsidR="00EA4D83" w:rsidRPr="002D150C" w:rsidRDefault="00EA4D83" w:rsidP="00EA4D83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Kaynak-Hekimhan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P. </w:t>
      </w: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Noncosmetic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</w:t>
      </w: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periocular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therapeutic applications of </w:t>
      </w: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toxin.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Middle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East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Afr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J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Ophthalmol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2010:113-20.</w:t>
      </w:r>
    </w:p>
    <w:p w:rsidR="00EA4D83" w:rsidRDefault="00EA4D83" w:rsidP="00EA4D83">
      <w:pPr>
        <w:pStyle w:val="Prrafodelista1"/>
        <w:numPr>
          <w:ilvl w:val="0"/>
          <w:numId w:val="1"/>
        </w:numPr>
        <w:spacing w:line="360" w:lineRule="auto"/>
        <w:ind w:right="-27"/>
        <w:jc w:val="both"/>
        <w:rPr>
          <w:rFonts w:ascii="Arial" w:eastAsia="Calibri" w:hAnsi="Arial" w:cs="Arial"/>
          <w:bCs/>
          <w:lang w:val="es-ES_tradnl" w:eastAsia="en-US"/>
        </w:rPr>
      </w:pP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Hornik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A, </w:t>
      </w: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Gruener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G, Jay W. Adverse Reactions from </w:t>
      </w:r>
      <w:proofErr w:type="spellStart"/>
      <w:r w:rsidRPr="00EA4D83">
        <w:rPr>
          <w:rFonts w:ascii="Arial" w:eastAsia="Calibri" w:hAnsi="Arial" w:cs="Arial"/>
          <w:bCs/>
          <w:lang w:val="en-US" w:eastAsia="en-US"/>
        </w:rPr>
        <w:t>Botulinum</w:t>
      </w:r>
      <w:proofErr w:type="spellEnd"/>
      <w:r w:rsidRPr="00EA4D83">
        <w:rPr>
          <w:rFonts w:ascii="Arial" w:eastAsia="Calibri" w:hAnsi="Arial" w:cs="Arial"/>
          <w:bCs/>
          <w:lang w:val="en-US" w:eastAsia="en-US"/>
        </w:rPr>
        <w:t xml:space="preserve"> Toxin Administration. </w:t>
      </w:r>
      <w:proofErr w:type="spellStart"/>
      <w:r w:rsidRPr="002D150C">
        <w:rPr>
          <w:rFonts w:ascii="Arial" w:eastAsia="Calibri" w:hAnsi="Arial" w:cs="Arial"/>
          <w:bCs/>
          <w:lang w:val="es-ES_tradnl" w:eastAsia="en-US"/>
        </w:rPr>
        <w:t>Neuro-Ophthalmology</w:t>
      </w:r>
      <w:proofErr w:type="spellEnd"/>
      <w:r w:rsidRPr="002D150C">
        <w:rPr>
          <w:rFonts w:ascii="Arial" w:eastAsia="Calibri" w:hAnsi="Arial" w:cs="Arial"/>
          <w:bCs/>
          <w:lang w:val="es-ES_tradnl" w:eastAsia="en-US"/>
        </w:rPr>
        <w:t xml:space="preserve"> 2010:6–13. </w:t>
      </w:r>
    </w:p>
    <w:p w:rsidR="00EA4D83" w:rsidRPr="002D150C" w:rsidRDefault="00EA4D83" w:rsidP="00EA4D83">
      <w:pPr>
        <w:pStyle w:val="Prrafodelista1"/>
        <w:spacing w:line="360" w:lineRule="auto"/>
        <w:ind w:left="720" w:right="-27"/>
        <w:jc w:val="both"/>
        <w:rPr>
          <w:rFonts w:ascii="Arial" w:eastAsia="Calibri" w:hAnsi="Arial" w:cs="Arial"/>
          <w:bCs/>
          <w:lang w:val="es-ES_tradnl" w:eastAsia="en-US"/>
        </w:rPr>
      </w:pPr>
    </w:p>
    <w:p w:rsidR="00115B2A" w:rsidRDefault="00115B2A" w:rsidP="00115B2A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Evaluación.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Se realizará un examen de comprobación de conocimientos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 través de un test de asociación.</w:t>
      </w:r>
      <w:bookmarkStart w:id="0" w:name="_GoBack"/>
      <w:bookmarkEnd w:id="0"/>
    </w:p>
    <w:p w:rsidR="00115B2A" w:rsidRDefault="00115B2A" w:rsidP="00115B2A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15B2A" w:rsidRDefault="00115B2A" w:rsidP="00115B2A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0951" w:rsidRDefault="00800951" w:rsidP="00415B0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sectPr w:rsidR="0080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325"/>
    <w:multiLevelType w:val="hybridMultilevel"/>
    <w:tmpl w:val="3814B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E"/>
    <w:rsid w:val="000119BF"/>
    <w:rsid w:val="000A696B"/>
    <w:rsid w:val="00115B2A"/>
    <w:rsid w:val="00137D7D"/>
    <w:rsid w:val="002530D4"/>
    <w:rsid w:val="002E3EC6"/>
    <w:rsid w:val="00415B0E"/>
    <w:rsid w:val="00495A39"/>
    <w:rsid w:val="00614664"/>
    <w:rsid w:val="006F021E"/>
    <w:rsid w:val="00725836"/>
    <w:rsid w:val="00800951"/>
    <w:rsid w:val="008B7A31"/>
    <w:rsid w:val="00972C31"/>
    <w:rsid w:val="009D63F8"/>
    <w:rsid w:val="00A15A92"/>
    <w:rsid w:val="00A25B7F"/>
    <w:rsid w:val="00C26859"/>
    <w:rsid w:val="00C31787"/>
    <w:rsid w:val="00D27CF6"/>
    <w:rsid w:val="00E22E53"/>
    <w:rsid w:val="00EA4D83"/>
    <w:rsid w:val="00F36921"/>
    <w:rsid w:val="00F84E41"/>
    <w:rsid w:val="00F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EA4D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4D83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Prrafodelista1">
    <w:name w:val="Párrafo de lista1"/>
    <w:basedOn w:val="Normal"/>
    <w:rsid w:val="00EA4D83"/>
    <w:pPr>
      <w:ind w:left="708"/>
    </w:pPr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EA4D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A4D83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Prrafodelista1">
    <w:name w:val="Párrafo de lista1"/>
    <w:basedOn w:val="Normal"/>
    <w:rsid w:val="00EA4D83"/>
    <w:pPr>
      <w:ind w:left="708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2</cp:revision>
  <dcterms:created xsi:type="dcterms:W3CDTF">2018-02-28T10:30:00Z</dcterms:created>
  <dcterms:modified xsi:type="dcterms:W3CDTF">2018-02-28T10:30:00Z</dcterms:modified>
</cp:coreProperties>
</file>