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005" w:rsidRPr="00457005" w:rsidRDefault="00457005" w:rsidP="00457005">
      <w:pPr>
        <w:spacing w:after="0" w:line="240" w:lineRule="auto"/>
        <w:rPr>
          <w:rFonts w:ascii="Times New Roman" w:eastAsia="Times New Roman" w:hAnsi="Times New Roman" w:cs="Times New Roman"/>
          <w:sz w:val="24"/>
          <w:szCs w:val="24"/>
          <w:lang w:eastAsia="es-ES"/>
        </w:rPr>
      </w:pPr>
      <w:bookmarkStart w:id="0" w:name="_GoBack"/>
      <w:bookmarkEnd w:id="0"/>
      <w:r w:rsidRPr="00457005">
        <w:rPr>
          <w:rFonts w:ascii="Times New Roman" w:eastAsia="Times New Roman" w:hAnsi="Times New Roman" w:cs="Times New Roman"/>
          <w:sz w:val="24"/>
          <w:szCs w:val="24"/>
          <w:lang w:eastAsia="es-ES"/>
        </w:rPr>
        <w:t xml:space="preserve"> </w:t>
      </w:r>
      <w:hyperlink r:id="rId6" w:tgtFrame="_parent" w:history="1">
        <w:r w:rsidRPr="00457005">
          <w:rPr>
            <w:rFonts w:ascii="Times New Roman" w:eastAsia="Times New Roman" w:hAnsi="Times New Roman" w:cs="Times New Roman"/>
            <w:color w:val="0000FF"/>
            <w:sz w:val="24"/>
            <w:szCs w:val="24"/>
            <w:u w:val="single"/>
            <w:lang w:eastAsia="es-ES"/>
          </w:rPr>
          <w:t>Volumen 30, Número 2 (2017)</w:t>
        </w:r>
      </w:hyperlink>
      <w:r w:rsidRPr="00457005">
        <w:rPr>
          <w:rFonts w:ascii="Times New Roman" w:eastAsia="Times New Roman" w:hAnsi="Times New Roman" w:cs="Times New Roman"/>
          <w:sz w:val="24"/>
          <w:szCs w:val="24"/>
          <w:lang w:eastAsia="es-ES"/>
        </w:rPr>
        <w:t xml:space="preserve"> &gt; </w:t>
      </w:r>
      <w:hyperlink r:id="rId7" w:tgtFrame="_parent" w:history="1">
        <w:r w:rsidRPr="00457005">
          <w:rPr>
            <w:rFonts w:ascii="Times New Roman" w:eastAsia="Times New Roman" w:hAnsi="Times New Roman" w:cs="Times New Roman"/>
            <w:color w:val="0000FF"/>
            <w:sz w:val="24"/>
            <w:szCs w:val="24"/>
            <w:u w:val="single"/>
            <w:lang w:eastAsia="es-ES"/>
          </w:rPr>
          <w:t>Cáceres Toledo</w:t>
        </w:r>
      </w:hyperlink>
      <w:r w:rsidRPr="00457005">
        <w:rPr>
          <w:rFonts w:ascii="Times New Roman" w:eastAsia="Times New Roman" w:hAnsi="Times New Roman" w:cs="Times New Roman"/>
          <w:sz w:val="24"/>
          <w:szCs w:val="24"/>
          <w:lang w:eastAsia="es-ES"/>
        </w:rPr>
        <w:t xml:space="preserve"> </w:t>
      </w:r>
    </w:p>
    <w:p w:rsidR="00457005" w:rsidRPr="00457005" w:rsidRDefault="00457005" w:rsidP="00457005">
      <w:pPr>
        <w:spacing w:before="100" w:beforeAutospacing="1" w:after="100" w:afterAutospacing="1" w:line="240" w:lineRule="auto"/>
        <w:jc w:val="right"/>
        <w:rPr>
          <w:rFonts w:ascii="Times New Roman" w:eastAsia="Times New Roman" w:hAnsi="Times New Roman" w:cs="Times New Roman"/>
          <w:sz w:val="24"/>
          <w:szCs w:val="24"/>
          <w:lang w:eastAsia="es-ES"/>
        </w:rPr>
      </w:pPr>
      <w:r w:rsidRPr="00457005">
        <w:rPr>
          <w:rFonts w:ascii="Verdana" w:eastAsia="Times New Roman" w:hAnsi="Verdana" w:cs="Times New Roman"/>
          <w:b/>
          <w:bCs/>
          <w:sz w:val="20"/>
          <w:szCs w:val="20"/>
          <w:lang w:eastAsia="es-ES"/>
        </w:rPr>
        <w:t>INVESTIGACIÓN</w:t>
      </w:r>
      <w:r w:rsidRPr="00457005">
        <w:rPr>
          <w:rFonts w:ascii="Verdana" w:eastAsia="Times New Roman" w:hAnsi="Verdana" w:cs="Times New Roman"/>
          <w:sz w:val="20"/>
          <w:szCs w:val="20"/>
          <w:lang w:eastAsia="es-ES"/>
        </w:rPr>
        <w:t xml:space="preserve"> </w:t>
      </w:r>
    </w:p>
    <w:p w:rsidR="00457005" w:rsidRPr="00457005" w:rsidRDefault="00457005" w:rsidP="00457005">
      <w:pPr>
        <w:spacing w:before="100" w:beforeAutospacing="1" w:after="100" w:afterAutospacing="1" w:line="240" w:lineRule="auto"/>
        <w:rPr>
          <w:rFonts w:ascii="Times New Roman" w:eastAsia="Times New Roman" w:hAnsi="Times New Roman" w:cs="Times New Roman"/>
          <w:sz w:val="24"/>
          <w:szCs w:val="24"/>
          <w:lang w:eastAsia="es-ES"/>
        </w:rPr>
      </w:pPr>
      <w:r w:rsidRPr="00457005">
        <w:rPr>
          <w:rFonts w:ascii="Times New Roman" w:eastAsia="Times New Roman" w:hAnsi="Times New Roman" w:cs="Times New Roman"/>
          <w:sz w:val="24"/>
          <w:szCs w:val="24"/>
          <w:lang w:eastAsia="es-ES"/>
        </w:rPr>
        <w:t xml:space="preserve">  </w:t>
      </w:r>
    </w:p>
    <w:p w:rsidR="00457005" w:rsidRPr="00457005" w:rsidRDefault="00457005" w:rsidP="00457005">
      <w:pPr>
        <w:spacing w:before="100" w:beforeAutospacing="1" w:after="100" w:afterAutospacing="1" w:line="240" w:lineRule="auto"/>
        <w:rPr>
          <w:rFonts w:ascii="Times New Roman" w:eastAsia="Times New Roman" w:hAnsi="Times New Roman" w:cs="Times New Roman"/>
          <w:sz w:val="24"/>
          <w:szCs w:val="24"/>
          <w:lang w:eastAsia="es-ES"/>
        </w:rPr>
      </w:pPr>
      <w:r w:rsidRPr="00457005">
        <w:rPr>
          <w:rFonts w:ascii="Verdana" w:eastAsia="Times New Roman" w:hAnsi="Verdana" w:cs="Times New Roman"/>
          <w:b/>
          <w:bCs/>
          <w:sz w:val="27"/>
          <w:szCs w:val="27"/>
          <w:lang w:eastAsia="es-ES"/>
        </w:rPr>
        <w:t xml:space="preserve">Toxina botulínica A en el músculo recto superior para la corrección de la retracción palpebral </w:t>
      </w:r>
    </w:p>
    <w:p w:rsidR="00457005" w:rsidRPr="00457005" w:rsidRDefault="00457005" w:rsidP="00457005">
      <w:pPr>
        <w:spacing w:before="100" w:beforeAutospacing="1" w:after="100" w:afterAutospacing="1" w:line="240" w:lineRule="auto"/>
        <w:rPr>
          <w:rFonts w:ascii="Times New Roman" w:eastAsia="Times New Roman" w:hAnsi="Times New Roman" w:cs="Times New Roman"/>
          <w:sz w:val="24"/>
          <w:szCs w:val="24"/>
          <w:lang w:eastAsia="es-ES"/>
        </w:rPr>
      </w:pPr>
      <w:r w:rsidRPr="00457005">
        <w:rPr>
          <w:rFonts w:ascii="Times New Roman" w:eastAsia="Times New Roman" w:hAnsi="Times New Roman" w:cs="Times New Roman"/>
          <w:sz w:val="24"/>
          <w:szCs w:val="24"/>
          <w:lang w:eastAsia="es-ES"/>
        </w:rPr>
        <w:t> </w:t>
      </w:r>
    </w:p>
    <w:p w:rsidR="00457005" w:rsidRPr="00457005" w:rsidRDefault="00457005" w:rsidP="00457005">
      <w:pPr>
        <w:spacing w:before="100" w:beforeAutospacing="1" w:after="100" w:afterAutospacing="1" w:line="240" w:lineRule="auto"/>
        <w:rPr>
          <w:rFonts w:ascii="Times New Roman" w:eastAsia="Times New Roman" w:hAnsi="Times New Roman" w:cs="Times New Roman"/>
          <w:sz w:val="24"/>
          <w:szCs w:val="24"/>
          <w:lang w:val="en-US" w:eastAsia="es-ES"/>
        </w:rPr>
      </w:pPr>
      <w:proofErr w:type="spellStart"/>
      <w:r w:rsidRPr="00457005">
        <w:rPr>
          <w:rFonts w:ascii="Verdana" w:eastAsia="Times New Roman" w:hAnsi="Verdana" w:cs="Times New Roman"/>
          <w:b/>
          <w:bCs/>
          <w:sz w:val="24"/>
          <w:szCs w:val="24"/>
          <w:lang w:val="en-US" w:eastAsia="es-ES"/>
        </w:rPr>
        <w:t>Botulinum</w:t>
      </w:r>
      <w:proofErr w:type="spellEnd"/>
      <w:r w:rsidRPr="00457005">
        <w:rPr>
          <w:rFonts w:ascii="Verdana" w:eastAsia="Times New Roman" w:hAnsi="Verdana" w:cs="Times New Roman"/>
          <w:b/>
          <w:bCs/>
          <w:sz w:val="24"/>
          <w:szCs w:val="24"/>
          <w:lang w:val="en-US" w:eastAsia="es-ES"/>
        </w:rPr>
        <w:t xml:space="preserve"> toxin A in the upper rectus muscle for the correction of eyelid retraction</w:t>
      </w:r>
    </w:p>
    <w:p w:rsidR="00457005" w:rsidRPr="00457005" w:rsidRDefault="00457005" w:rsidP="00457005">
      <w:pPr>
        <w:spacing w:before="100" w:beforeAutospacing="1" w:after="100" w:afterAutospacing="1" w:line="240" w:lineRule="auto"/>
        <w:rPr>
          <w:rFonts w:ascii="Times New Roman" w:eastAsia="Times New Roman" w:hAnsi="Times New Roman" w:cs="Times New Roman"/>
          <w:sz w:val="24"/>
          <w:szCs w:val="24"/>
          <w:lang w:val="en-US" w:eastAsia="es-ES"/>
        </w:rPr>
      </w:pPr>
      <w:r w:rsidRPr="00457005">
        <w:rPr>
          <w:rFonts w:ascii="Times New Roman" w:eastAsia="Times New Roman" w:hAnsi="Times New Roman" w:cs="Times New Roman"/>
          <w:sz w:val="24"/>
          <w:szCs w:val="24"/>
          <w:lang w:val="en-US" w:eastAsia="es-ES"/>
        </w:rPr>
        <w:t> </w:t>
      </w:r>
    </w:p>
    <w:p w:rsidR="00457005" w:rsidRPr="00457005" w:rsidRDefault="00457005" w:rsidP="00457005">
      <w:pPr>
        <w:spacing w:before="100" w:beforeAutospacing="1" w:after="100" w:afterAutospacing="1" w:line="240" w:lineRule="auto"/>
        <w:rPr>
          <w:rFonts w:ascii="Times New Roman" w:eastAsia="Times New Roman" w:hAnsi="Times New Roman" w:cs="Times New Roman"/>
          <w:sz w:val="24"/>
          <w:szCs w:val="24"/>
          <w:lang w:val="en-US" w:eastAsia="es-ES"/>
        </w:rPr>
      </w:pPr>
      <w:r w:rsidRPr="00457005">
        <w:rPr>
          <w:rFonts w:ascii="Times New Roman" w:eastAsia="Times New Roman" w:hAnsi="Times New Roman" w:cs="Times New Roman"/>
          <w:sz w:val="24"/>
          <w:szCs w:val="24"/>
          <w:lang w:val="en-US" w:eastAsia="es-ES"/>
        </w:rPr>
        <w:t> </w:t>
      </w:r>
    </w:p>
    <w:p w:rsidR="00457005" w:rsidRPr="00457005" w:rsidRDefault="00457005" w:rsidP="00457005">
      <w:pPr>
        <w:spacing w:before="100" w:beforeAutospacing="1" w:after="100" w:afterAutospacing="1" w:line="240" w:lineRule="auto"/>
        <w:rPr>
          <w:rFonts w:ascii="Times New Roman" w:eastAsia="Times New Roman" w:hAnsi="Times New Roman" w:cs="Times New Roman"/>
          <w:sz w:val="24"/>
          <w:szCs w:val="24"/>
          <w:lang w:eastAsia="es-ES"/>
        </w:rPr>
      </w:pPr>
      <w:r w:rsidRPr="00457005">
        <w:rPr>
          <w:rFonts w:ascii="Verdana" w:eastAsia="Times New Roman" w:hAnsi="Verdana" w:cs="Times New Roman"/>
          <w:b/>
          <w:bCs/>
          <w:sz w:val="20"/>
          <w:szCs w:val="20"/>
          <w:lang w:eastAsia="es-ES"/>
        </w:rPr>
        <w:t xml:space="preserve">María Cáceres Toledo, Melba Márquez Fernández, Odalys Leonor Cáceres Toledo </w:t>
      </w:r>
    </w:p>
    <w:p w:rsidR="00457005" w:rsidRDefault="00457005" w:rsidP="00457005">
      <w:pPr>
        <w:spacing w:before="100" w:beforeAutospacing="1" w:after="100" w:afterAutospacing="1" w:line="240" w:lineRule="auto"/>
        <w:rPr>
          <w:rFonts w:ascii="Verdana" w:eastAsia="Times New Roman" w:hAnsi="Verdana" w:cs="Times New Roman"/>
          <w:sz w:val="20"/>
          <w:szCs w:val="20"/>
          <w:lang w:eastAsia="es-ES"/>
        </w:rPr>
      </w:pPr>
      <w:r w:rsidRPr="00457005">
        <w:rPr>
          <w:rFonts w:ascii="Verdana" w:eastAsia="Times New Roman" w:hAnsi="Verdana" w:cs="Times New Roman"/>
          <w:sz w:val="20"/>
          <w:szCs w:val="20"/>
          <w:lang w:eastAsia="es-ES"/>
        </w:rPr>
        <w:t xml:space="preserve">Hospital Clínico Quirúrgico "Hermanos Ameijeiras". La Habana, Cuba. </w:t>
      </w:r>
    </w:p>
    <w:p w:rsidR="00457005" w:rsidRDefault="00457005" w:rsidP="00457005">
      <w:pPr>
        <w:spacing w:before="100" w:beforeAutospacing="1" w:after="100" w:afterAutospacing="1" w:line="240" w:lineRule="auto"/>
        <w:rPr>
          <w:rFonts w:ascii="Verdana" w:eastAsia="Times New Roman" w:hAnsi="Verdana" w:cs="Times New Roman"/>
          <w:sz w:val="20"/>
          <w:szCs w:val="20"/>
          <w:lang w:eastAsia="es-ES"/>
        </w:rPr>
      </w:pPr>
    </w:p>
    <w:p w:rsidR="00457005" w:rsidRPr="00457005" w:rsidRDefault="00457005" w:rsidP="00457005">
      <w:pPr>
        <w:spacing w:after="0" w:line="240" w:lineRule="auto"/>
        <w:rPr>
          <w:rFonts w:ascii="Times New Roman" w:eastAsia="Times New Roman" w:hAnsi="Times New Roman" w:cs="Times New Roman"/>
          <w:sz w:val="24"/>
          <w:szCs w:val="24"/>
          <w:lang w:eastAsia="es-ES"/>
        </w:rPr>
      </w:pPr>
      <w:r w:rsidRPr="00457005">
        <w:rPr>
          <w:rFonts w:ascii="Verdana" w:eastAsia="Times New Roman" w:hAnsi="Verdana" w:cs="Times New Roman"/>
          <w:b/>
          <w:bCs/>
          <w:sz w:val="20"/>
          <w:szCs w:val="20"/>
          <w:lang w:eastAsia="es-ES"/>
        </w:rPr>
        <w:t>RESUMEN</w:t>
      </w:r>
      <w:r w:rsidRPr="00457005">
        <w:rPr>
          <w:rFonts w:ascii="Verdana" w:eastAsia="Times New Roman" w:hAnsi="Verdana" w:cs="Times New Roman"/>
          <w:sz w:val="20"/>
          <w:szCs w:val="20"/>
          <w:lang w:eastAsia="es-ES"/>
        </w:rPr>
        <w:t xml:space="preserve"> </w:t>
      </w:r>
    </w:p>
    <w:p w:rsidR="00457005" w:rsidRPr="00457005" w:rsidRDefault="00457005" w:rsidP="00457005">
      <w:pPr>
        <w:spacing w:before="100" w:beforeAutospacing="1" w:after="100" w:afterAutospacing="1" w:line="240" w:lineRule="auto"/>
        <w:rPr>
          <w:rFonts w:ascii="Times New Roman" w:eastAsia="Times New Roman" w:hAnsi="Times New Roman" w:cs="Times New Roman"/>
          <w:sz w:val="24"/>
          <w:szCs w:val="24"/>
          <w:lang w:eastAsia="es-ES"/>
        </w:rPr>
      </w:pPr>
      <w:r w:rsidRPr="00457005">
        <w:rPr>
          <w:rFonts w:ascii="Verdana" w:eastAsia="Times New Roman" w:hAnsi="Verdana" w:cs="Times New Roman"/>
          <w:b/>
          <w:bCs/>
          <w:sz w:val="20"/>
          <w:szCs w:val="20"/>
          <w:lang w:eastAsia="es-ES"/>
        </w:rPr>
        <w:t>Objetivo:</w:t>
      </w:r>
      <w:r w:rsidRPr="00457005">
        <w:rPr>
          <w:rFonts w:ascii="Verdana" w:eastAsia="Times New Roman" w:hAnsi="Verdana" w:cs="Times New Roman"/>
          <w:sz w:val="20"/>
          <w:szCs w:val="20"/>
          <w:lang w:eastAsia="es-ES"/>
        </w:rPr>
        <w:t xml:space="preserve"> evaluar los resultados terapéuticos obtenidos con la inyección de toxina botulínica</w:t>
      </w:r>
      <w:r w:rsidRPr="00457005">
        <w:rPr>
          <w:rFonts w:ascii="Verdana" w:eastAsia="Times New Roman" w:hAnsi="Verdana" w:cs="Times New Roman"/>
          <w:b/>
          <w:bCs/>
          <w:sz w:val="20"/>
          <w:szCs w:val="20"/>
          <w:lang w:eastAsia="es-ES"/>
        </w:rPr>
        <w:t xml:space="preserve"> </w:t>
      </w:r>
      <w:r w:rsidRPr="00457005">
        <w:rPr>
          <w:rFonts w:ascii="Verdana" w:eastAsia="Times New Roman" w:hAnsi="Verdana" w:cs="Times New Roman"/>
          <w:sz w:val="20"/>
          <w:szCs w:val="20"/>
          <w:lang w:eastAsia="es-ES"/>
        </w:rPr>
        <w:t xml:space="preserve">en el músculo recto superior en pacientes con retracción palpebral moderada y grave en el curso de la </w:t>
      </w:r>
      <w:proofErr w:type="spellStart"/>
      <w:r w:rsidRPr="00457005">
        <w:rPr>
          <w:rFonts w:ascii="Verdana" w:eastAsia="Times New Roman" w:hAnsi="Verdana" w:cs="Times New Roman"/>
          <w:sz w:val="20"/>
          <w:szCs w:val="20"/>
          <w:lang w:eastAsia="es-ES"/>
        </w:rPr>
        <w:t>orbitopatía</w:t>
      </w:r>
      <w:proofErr w:type="spellEnd"/>
      <w:r w:rsidRPr="00457005">
        <w:rPr>
          <w:rFonts w:ascii="Verdana" w:eastAsia="Times New Roman" w:hAnsi="Verdana" w:cs="Times New Roman"/>
          <w:sz w:val="20"/>
          <w:szCs w:val="20"/>
          <w:lang w:eastAsia="es-ES"/>
        </w:rPr>
        <w:t xml:space="preserve"> tiroidea; determinar la influencia de algunos factores relacionados con estos e identificar las complicaciones y las reacciones adversas asociadas a su uso terapéutico. </w:t>
      </w:r>
      <w:r w:rsidRPr="00457005">
        <w:rPr>
          <w:rFonts w:ascii="Times New Roman" w:eastAsia="Times New Roman" w:hAnsi="Times New Roman" w:cs="Times New Roman"/>
          <w:sz w:val="24"/>
          <w:szCs w:val="24"/>
          <w:lang w:eastAsia="es-ES"/>
        </w:rPr>
        <w:br/>
      </w:r>
      <w:r w:rsidRPr="00457005">
        <w:rPr>
          <w:rFonts w:ascii="Verdana" w:eastAsia="Times New Roman" w:hAnsi="Verdana" w:cs="Times New Roman"/>
          <w:b/>
          <w:bCs/>
          <w:sz w:val="20"/>
          <w:szCs w:val="20"/>
          <w:lang w:eastAsia="es-ES"/>
        </w:rPr>
        <w:t>Métodos:</w:t>
      </w:r>
      <w:r w:rsidRPr="00457005">
        <w:rPr>
          <w:rFonts w:ascii="Verdana" w:eastAsia="Times New Roman" w:hAnsi="Verdana" w:cs="Times New Roman"/>
          <w:sz w:val="20"/>
          <w:szCs w:val="20"/>
          <w:lang w:eastAsia="es-ES"/>
        </w:rPr>
        <w:t xml:space="preserve"> se realizó un estudio descriptivo prospectivo en el Servicio de Oftalmología del Hospital "Hermanos Ameijeiras" en una serie de 21 casos con retracción palpebral moderada y grave en el curso de la </w:t>
      </w:r>
      <w:proofErr w:type="spellStart"/>
      <w:r w:rsidRPr="00457005">
        <w:rPr>
          <w:rFonts w:ascii="Verdana" w:eastAsia="Times New Roman" w:hAnsi="Verdana" w:cs="Times New Roman"/>
          <w:sz w:val="20"/>
          <w:szCs w:val="20"/>
          <w:lang w:eastAsia="es-ES"/>
        </w:rPr>
        <w:t>orbitopatía</w:t>
      </w:r>
      <w:proofErr w:type="spellEnd"/>
      <w:r w:rsidRPr="00457005">
        <w:rPr>
          <w:rFonts w:ascii="Verdana" w:eastAsia="Times New Roman" w:hAnsi="Verdana" w:cs="Times New Roman"/>
          <w:sz w:val="20"/>
          <w:szCs w:val="20"/>
          <w:lang w:eastAsia="es-ES"/>
        </w:rPr>
        <w:t xml:space="preserve"> tiroidea. La inyección de toxina botulínica en el músculo recto superior para la corrección de la retracción de la </w:t>
      </w:r>
      <w:proofErr w:type="spellStart"/>
      <w:r w:rsidRPr="00457005">
        <w:rPr>
          <w:rFonts w:ascii="Verdana" w:eastAsia="Times New Roman" w:hAnsi="Verdana" w:cs="Times New Roman"/>
          <w:sz w:val="20"/>
          <w:szCs w:val="20"/>
          <w:lang w:eastAsia="es-ES"/>
        </w:rPr>
        <w:t>orbitopatía</w:t>
      </w:r>
      <w:proofErr w:type="spellEnd"/>
      <w:r w:rsidRPr="00457005">
        <w:rPr>
          <w:rFonts w:ascii="Verdana" w:eastAsia="Times New Roman" w:hAnsi="Verdana" w:cs="Times New Roman"/>
          <w:sz w:val="20"/>
          <w:szCs w:val="20"/>
          <w:lang w:eastAsia="es-ES"/>
        </w:rPr>
        <w:t xml:space="preserve"> tiroidea se realiza por primera vez en el país. </w:t>
      </w:r>
      <w:r w:rsidRPr="00457005">
        <w:rPr>
          <w:rFonts w:ascii="Times New Roman" w:eastAsia="Times New Roman" w:hAnsi="Times New Roman" w:cs="Times New Roman"/>
          <w:sz w:val="24"/>
          <w:szCs w:val="24"/>
          <w:lang w:eastAsia="es-ES"/>
        </w:rPr>
        <w:br/>
      </w:r>
      <w:r w:rsidRPr="00457005">
        <w:rPr>
          <w:rFonts w:ascii="Verdana" w:eastAsia="Times New Roman" w:hAnsi="Verdana" w:cs="Times New Roman"/>
          <w:b/>
          <w:bCs/>
          <w:sz w:val="20"/>
          <w:szCs w:val="20"/>
          <w:lang w:eastAsia="es-ES"/>
        </w:rPr>
        <w:t>Resultados:</w:t>
      </w:r>
      <w:r w:rsidRPr="00457005">
        <w:rPr>
          <w:rFonts w:ascii="Verdana" w:eastAsia="Times New Roman" w:hAnsi="Verdana" w:cs="Times New Roman"/>
          <w:sz w:val="20"/>
          <w:szCs w:val="20"/>
          <w:lang w:eastAsia="es-ES"/>
        </w:rPr>
        <w:t xml:space="preserve"> fueron satisfactorios en el 66,7 % de los casos. La edad y la gravedad clínica de la retracción fueron los factores que influyeron sobre la respuesta terapéutica (</w:t>
      </w:r>
      <w:r w:rsidRPr="00457005">
        <w:rPr>
          <w:rFonts w:ascii="Verdana" w:eastAsia="Times New Roman" w:hAnsi="Verdana" w:cs="Times New Roman"/>
          <w:i/>
          <w:iCs/>
          <w:sz w:val="20"/>
          <w:szCs w:val="20"/>
          <w:lang w:eastAsia="es-ES"/>
        </w:rPr>
        <w:t>p</w:t>
      </w:r>
      <w:r w:rsidRPr="00457005">
        <w:rPr>
          <w:rFonts w:ascii="Verdana" w:eastAsia="Times New Roman" w:hAnsi="Verdana" w:cs="Times New Roman"/>
          <w:sz w:val="20"/>
          <w:szCs w:val="20"/>
          <w:lang w:eastAsia="es-ES"/>
        </w:rPr>
        <w:t xml:space="preserve">= 0,013 y </w:t>
      </w:r>
      <w:r w:rsidRPr="00457005">
        <w:rPr>
          <w:rFonts w:ascii="Verdana" w:eastAsia="Times New Roman" w:hAnsi="Verdana" w:cs="Times New Roman"/>
          <w:i/>
          <w:iCs/>
          <w:sz w:val="20"/>
          <w:szCs w:val="20"/>
          <w:lang w:eastAsia="es-ES"/>
        </w:rPr>
        <w:t>p</w:t>
      </w:r>
      <w:r w:rsidRPr="00457005">
        <w:rPr>
          <w:rFonts w:ascii="Verdana" w:eastAsia="Times New Roman" w:hAnsi="Verdana" w:cs="Times New Roman"/>
          <w:sz w:val="20"/>
          <w:szCs w:val="20"/>
          <w:lang w:eastAsia="es-ES"/>
        </w:rPr>
        <w:t xml:space="preserve">= 0,015 respectivamente). </w:t>
      </w:r>
      <w:r w:rsidRPr="00457005">
        <w:rPr>
          <w:rFonts w:ascii="Times New Roman" w:eastAsia="Times New Roman" w:hAnsi="Times New Roman" w:cs="Times New Roman"/>
          <w:sz w:val="24"/>
          <w:szCs w:val="24"/>
          <w:lang w:eastAsia="es-ES"/>
        </w:rPr>
        <w:br/>
      </w:r>
      <w:r w:rsidRPr="00457005">
        <w:rPr>
          <w:rFonts w:ascii="Verdana" w:eastAsia="Times New Roman" w:hAnsi="Verdana" w:cs="Times New Roman"/>
          <w:b/>
          <w:bCs/>
          <w:sz w:val="20"/>
          <w:szCs w:val="20"/>
          <w:lang w:eastAsia="es-ES"/>
        </w:rPr>
        <w:t xml:space="preserve">Conclusiones: </w:t>
      </w:r>
      <w:r w:rsidRPr="00457005">
        <w:rPr>
          <w:rFonts w:ascii="Verdana" w:eastAsia="Times New Roman" w:hAnsi="Verdana" w:cs="Times New Roman"/>
          <w:sz w:val="20"/>
          <w:szCs w:val="20"/>
          <w:lang w:eastAsia="es-ES"/>
        </w:rPr>
        <w:t xml:space="preserve">la inyección de toxina botulínica en el músculo recto superior es efectiva en la mayoría de los casos tratados, sobre todo en adultos jóvenes y con menor gravedad clínica de la retracción. La hipercorrección es la complicación más temida de este procedimiento. </w:t>
      </w:r>
    </w:p>
    <w:p w:rsidR="00457005" w:rsidRPr="00457005" w:rsidRDefault="00457005" w:rsidP="00457005">
      <w:pPr>
        <w:spacing w:before="100" w:beforeAutospacing="1" w:after="100" w:afterAutospacing="1" w:line="240" w:lineRule="auto"/>
        <w:rPr>
          <w:rFonts w:ascii="Times New Roman" w:eastAsia="Times New Roman" w:hAnsi="Times New Roman" w:cs="Times New Roman"/>
          <w:sz w:val="24"/>
          <w:szCs w:val="24"/>
          <w:lang w:eastAsia="es-ES"/>
        </w:rPr>
      </w:pPr>
      <w:r w:rsidRPr="00457005">
        <w:rPr>
          <w:rFonts w:ascii="Verdana" w:eastAsia="Times New Roman" w:hAnsi="Verdana" w:cs="Times New Roman"/>
          <w:b/>
          <w:bCs/>
          <w:sz w:val="20"/>
          <w:szCs w:val="20"/>
          <w:lang w:eastAsia="es-ES"/>
        </w:rPr>
        <w:t>Palabras clave:</w:t>
      </w:r>
      <w:r w:rsidRPr="00457005">
        <w:rPr>
          <w:rFonts w:ascii="Verdana" w:eastAsia="Times New Roman" w:hAnsi="Verdana" w:cs="Times New Roman"/>
          <w:sz w:val="20"/>
          <w:szCs w:val="20"/>
          <w:lang w:eastAsia="es-ES"/>
        </w:rPr>
        <w:t xml:space="preserve"> retracción palpebral;</w:t>
      </w:r>
      <w:r w:rsidRPr="00457005">
        <w:rPr>
          <w:rFonts w:ascii="Verdana" w:hAnsi="Verdana"/>
          <w:sz w:val="20"/>
          <w:szCs w:val="20"/>
        </w:rPr>
        <w:t xml:space="preserve"> </w:t>
      </w:r>
      <w:r>
        <w:rPr>
          <w:rFonts w:ascii="Verdana" w:hAnsi="Verdana"/>
          <w:sz w:val="20"/>
          <w:szCs w:val="20"/>
        </w:rPr>
        <w:t xml:space="preserve">toxina botulínica; </w:t>
      </w:r>
      <w:proofErr w:type="spellStart"/>
      <w:r>
        <w:rPr>
          <w:rFonts w:ascii="Verdana" w:hAnsi="Verdana"/>
          <w:sz w:val="20"/>
          <w:szCs w:val="20"/>
        </w:rPr>
        <w:t>orbitopatía</w:t>
      </w:r>
      <w:proofErr w:type="spellEnd"/>
      <w:r>
        <w:rPr>
          <w:rFonts w:ascii="Verdana" w:hAnsi="Verdana"/>
          <w:sz w:val="20"/>
          <w:szCs w:val="20"/>
        </w:rPr>
        <w:t xml:space="preserve"> tiroidea.</w:t>
      </w:r>
    </w:p>
    <w:p w:rsidR="00457005" w:rsidRPr="00457005" w:rsidRDefault="00457005" w:rsidP="00457005">
      <w:pPr>
        <w:spacing w:before="100" w:beforeAutospacing="1" w:after="100" w:afterAutospacing="1" w:line="240" w:lineRule="auto"/>
        <w:rPr>
          <w:rFonts w:ascii="Times New Roman" w:eastAsia="Times New Roman" w:hAnsi="Times New Roman" w:cs="Times New Roman"/>
          <w:sz w:val="24"/>
          <w:szCs w:val="24"/>
          <w:lang w:eastAsia="es-ES"/>
        </w:rPr>
      </w:pPr>
    </w:p>
    <w:p w:rsidR="00457005" w:rsidRPr="00457005" w:rsidRDefault="00457005" w:rsidP="00457005">
      <w:pPr>
        <w:spacing w:before="100" w:beforeAutospacing="1" w:after="100" w:afterAutospacing="1" w:line="240" w:lineRule="auto"/>
        <w:rPr>
          <w:rFonts w:ascii="Times New Roman" w:eastAsia="Times New Roman" w:hAnsi="Times New Roman" w:cs="Times New Roman"/>
          <w:sz w:val="24"/>
          <w:szCs w:val="24"/>
          <w:lang w:eastAsia="es-ES"/>
        </w:rPr>
      </w:pPr>
      <w:r w:rsidRPr="00457005">
        <w:rPr>
          <w:rFonts w:ascii="Times New Roman" w:eastAsia="Times New Roman" w:hAnsi="Times New Roman" w:cs="Times New Roman"/>
          <w:sz w:val="24"/>
          <w:szCs w:val="24"/>
          <w:lang w:eastAsia="es-ES"/>
        </w:rPr>
        <w:t> </w:t>
      </w:r>
    </w:p>
    <w:p w:rsidR="00457005" w:rsidRPr="00457005" w:rsidRDefault="00457005" w:rsidP="00457005">
      <w:pPr>
        <w:spacing w:before="100" w:beforeAutospacing="1" w:after="100" w:afterAutospacing="1" w:line="240" w:lineRule="auto"/>
        <w:rPr>
          <w:rFonts w:ascii="Times New Roman" w:eastAsia="Times New Roman" w:hAnsi="Times New Roman" w:cs="Times New Roman"/>
          <w:sz w:val="24"/>
          <w:szCs w:val="24"/>
          <w:lang w:eastAsia="es-ES"/>
        </w:rPr>
      </w:pPr>
      <w:r w:rsidRPr="00457005">
        <w:rPr>
          <w:rFonts w:ascii="Times New Roman" w:eastAsia="Times New Roman" w:hAnsi="Times New Roman" w:cs="Times New Roman"/>
          <w:sz w:val="24"/>
          <w:szCs w:val="24"/>
          <w:lang w:eastAsia="es-ES"/>
        </w:rPr>
        <w:t> </w:t>
      </w:r>
    </w:p>
    <w:p w:rsidR="00457005" w:rsidRPr="00457005" w:rsidRDefault="00457005" w:rsidP="00457005">
      <w:pPr>
        <w:spacing w:after="0" w:line="240" w:lineRule="auto"/>
        <w:rPr>
          <w:rFonts w:ascii="Times New Roman" w:eastAsia="Times New Roman" w:hAnsi="Times New Roman" w:cs="Times New Roman"/>
          <w:sz w:val="24"/>
          <w:szCs w:val="24"/>
          <w:lang w:val="en-US" w:eastAsia="es-ES"/>
        </w:rPr>
      </w:pPr>
      <w:r w:rsidRPr="00457005">
        <w:rPr>
          <w:rFonts w:ascii="Verdana" w:eastAsia="Times New Roman" w:hAnsi="Verdana" w:cs="Times New Roman"/>
          <w:b/>
          <w:bCs/>
          <w:sz w:val="20"/>
          <w:szCs w:val="20"/>
          <w:lang w:val="en-US" w:eastAsia="es-ES"/>
        </w:rPr>
        <w:lastRenderedPageBreak/>
        <w:t>ABSTRACT</w:t>
      </w:r>
      <w:r w:rsidRPr="00457005">
        <w:rPr>
          <w:rFonts w:ascii="Verdana" w:eastAsia="Times New Roman" w:hAnsi="Verdana" w:cs="Times New Roman"/>
          <w:sz w:val="20"/>
          <w:szCs w:val="20"/>
          <w:lang w:val="en-US" w:eastAsia="es-ES"/>
        </w:rPr>
        <w:t xml:space="preserve"> </w:t>
      </w:r>
    </w:p>
    <w:p w:rsidR="00457005" w:rsidRPr="00457005" w:rsidRDefault="00457005" w:rsidP="00457005">
      <w:pPr>
        <w:spacing w:before="100" w:beforeAutospacing="1" w:after="100" w:afterAutospacing="1" w:line="240" w:lineRule="auto"/>
        <w:rPr>
          <w:rFonts w:ascii="Times New Roman" w:eastAsia="Times New Roman" w:hAnsi="Times New Roman" w:cs="Times New Roman"/>
          <w:sz w:val="24"/>
          <w:szCs w:val="24"/>
          <w:lang w:val="en-US" w:eastAsia="es-ES"/>
        </w:rPr>
      </w:pPr>
      <w:r w:rsidRPr="00457005">
        <w:rPr>
          <w:rFonts w:ascii="Verdana" w:eastAsia="Times New Roman" w:hAnsi="Verdana" w:cs="Times New Roman"/>
          <w:b/>
          <w:bCs/>
          <w:sz w:val="20"/>
          <w:szCs w:val="20"/>
          <w:lang w:val="en-US" w:eastAsia="es-ES"/>
        </w:rPr>
        <w:t>Objective:</w:t>
      </w:r>
      <w:r w:rsidRPr="00457005">
        <w:rPr>
          <w:rFonts w:ascii="Verdana" w:eastAsia="Times New Roman" w:hAnsi="Verdana" w:cs="Times New Roman"/>
          <w:sz w:val="20"/>
          <w:szCs w:val="20"/>
          <w:lang w:val="en-US" w:eastAsia="es-ES"/>
        </w:rPr>
        <w:t xml:space="preserve"> to evaluate the therapeutic results of the </w:t>
      </w:r>
      <w:proofErr w:type="spellStart"/>
      <w:r w:rsidRPr="00457005">
        <w:rPr>
          <w:rFonts w:ascii="Verdana" w:eastAsia="Times New Roman" w:hAnsi="Verdana" w:cs="Times New Roman"/>
          <w:sz w:val="20"/>
          <w:szCs w:val="20"/>
          <w:lang w:val="en-US" w:eastAsia="es-ES"/>
        </w:rPr>
        <w:t>botulinum</w:t>
      </w:r>
      <w:proofErr w:type="spellEnd"/>
      <w:r w:rsidRPr="00457005">
        <w:rPr>
          <w:rFonts w:ascii="Verdana" w:eastAsia="Times New Roman" w:hAnsi="Verdana" w:cs="Times New Roman"/>
          <w:sz w:val="20"/>
          <w:szCs w:val="20"/>
          <w:lang w:val="en-US" w:eastAsia="es-ES"/>
        </w:rPr>
        <w:t xml:space="preserve"> toxin injection in the upper rectus muscle in patients with moderate and severe eyelid retraction in the course of thyroid </w:t>
      </w:r>
      <w:proofErr w:type="spellStart"/>
      <w:r w:rsidRPr="00457005">
        <w:rPr>
          <w:rFonts w:ascii="Verdana" w:eastAsia="Times New Roman" w:hAnsi="Verdana" w:cs="Times New Roman"/>
          <w:sz w:val="20"/>
          <w:szCs w:val="20"/>
          <w:lang w:val="en-US" w:eastAsia="es-ES"/>
        </w:rPr>
        <w:t>orbitopathy</w:t>
      </w:r>
      <w:proofErr w:type="spellEnd"/>
      <w:r w:rsidRPr="00457005">
        <w:rPr>
          <w:rFonts w:ascii="Verdana" w:eastAsia="Times New Roman" w:hAnsi="Verdana" w:cs="Times New Roman"/>
          <w:sz w:val="20"/>
          <w:szCs w:val="20"/>
          <w:lang w:val="en-US" w:eastAsia="es-ES"/>
        </w:rPr>
        <w:t>, and to determine the influence of some factors related to these patients and to identify the complications and adverse reactions associated to its therapeutic use.</w:t>
      </w:r>
      <w:r w:rsidRPr="00457005">
        <w:rPr>
          <w:rFonts w:ascii="Verdana" w:eastAsia="Times New Roman" w:hAnsi="Verdana" w:cs="Times New Roman"/>
          <w:sz w:val="20"/>
          <w:szCs w:val="20"/>
          <w:lang w:val="en-US" w:eastAsia="es-ES"/>
        </w:rPr>
        <w:br/>
      </w:r>
      <w:r w:rsidRPr="00457005">
        <w:rPr>
          <w:rFonts w:ascii="Verdana" w:eastAsia="Times New Roman" w:hAnsi="Verdana" w:cs="Times New Roman"/>
          <w:b/>
          <w:bCs/>
          <w:sz w:val="20"/>
          <w:szCs w:val="20"/>
          <w:lang w:val="en-US" w:eastAsia="es-ES"/>
        </w:rPr>
        <w:t xml:space="preserve">Methods: </w:t>
      </w:r>
      <w:r w:rsidRPr="00457005">
        <w:rPr>
          <w:rFonts w:ascii="Verdana" w:eastAsia="Times New Roman" w:hAnsi="Verdana" w:cs="Times New Roman"/>
          <w:sz w:val="20"/>
          <w:szCs w:val="20"/>
          <w:lang w:val="en-US" w:eastAsia="es-ES"/>
        </w:rPr>
        <w:t>prospective and descriptive study was carried out at the ophthalmological service of "</w:t>
      </w:r>
      <w:proofErr w:type="spellStart"/>
      <w:r w:rsidRPr="00457005">
        <w:rPr>
          <w:rFonts w:ascii="Verdana" w:eastAsia="Times New Roman" w:hAnsi="Verdana" w:cs="Times New Roman"/>
          <w:sz w:val="20"/>
          <w:szCs w:val="20"/>
          <w:lang w:val="en-US" w:eastAsia="es-ES"/>
        </w:rPr>
        <w:t>Hermanos</w:t>
      </w:r>
      <w:proofErr w:type="spellEnd"/>
      <w:r w:rsidRPr="00457005">
        <w:rPr>
          <w:rFonts w:ascii="Verdana" w:eastAsia="Times New Roman" w:hAnsi="Verdana" w:cs="Times New Roman"/>
          <w:sz w:val="20"/>
          <w:szCs w:val="20"/>
          <w:lang w:val="en-US" w:eastAsia="es-ES"/>
        </w:rPr>
        <w:t xml:space="preserve"> Ameijeiras" hospital in a 21 case series study with moderate and severe eyelid retraction in the course of thyroid </w:t>
      </w:r>
      <w:proofErr w:type="spellStart"/>
      <w:r w:rsidRPr="00457005">
        <w:rPr>
          <w:rFonts w:ascii="Verdana" w:eastAsia="Times New Roman" w:hAnsi="Verdana" w:cs="Times New Roman"/>
          <w:sz w:val="20"/>
          <w:szCs w:val="20"/>
          <w:lang w:val="en-US" w:eastAsia="es-ES"/>
        </w:rPr>
        <w:t>orbitopathy</w:t>
      </w:r>
      <w:proofErr w:type="spellEnd"/>
      <w:r w:rsidRPr="00457005">
        <w:rPr>
          <w:rFonts w:ascii="Verdana" w:eastAsia="Times New Roman" w:hAnsi="Verdana" w:cs="Times New Roman"/>
          <w:sz w:val="20"/>
          <w:szCs w:val="20"/>
          <w:lang w:val="en-US" w:eastAsia="es-ES"/>
        </w:rPr>
        <w:t xml:space="preserve">. The injection of </w:t>
      </w:r>
      <w:proofErr w:type="spellStart"/>
      <w:r w:rsidRPr="00457005">
        <w:rPr>
          <w:rFonts w:ascii="Verdana" w:eastAsia="Times New Roman" w:hAnsi="Verdana" w:cs="Times New Roman"/>
          <w:sz w:val="20"/>
          <w:szCs w:val="20"/>
          <w:lang w:val="en-US" w:eastAsia="es-ES"/>
        </w:rPr>
        <w:t>botulinum</w:t>
      </w:r>
      <w:proofErr w:type="spellEnd"/>
      <w:r w:rsidRPr="00457005">
        <w:rPr>
          <w:rFonts w:ascii="Verdana" w:eastAsia="Times New Roman" w:hAnsi="Verdana" w:cs="Times New Roman"/>
          <w:sz w:val="20"/>
          <w:szCs w:val="20"/>
          <w:lang w:val="en-US" w:eastAsia="es-ES"/>
        </w:rPr>
        <w:t xml:space="preserve"> toxin into the upper rectus muscle for the correction of retraction in thyroid </w:t>
      </w:r>
      <w:proofErr w:type="spellStart"/>
      <w:r w:rsidRPr="00457005">
        <w:rPr>
          <w:rFonts w:ascii="Verdana" w:eastAsia="Times New Roman" w:hAnsi="Verdana" w:cs="Times New Roman"/>
          <w:sz w:val="20"/>
          <w:szCs w:val="20"/>
          <w:lang w:val="en-US" w:eastAsia="es-ES"/>
        </w:rPr>
        <w:t>orbitopathy</w:t>
      </w:r>
      <w:proofErr w:type="spellEnd"/>
      <w:r w:rsidRPr="00457005">
        <w:rPr>
          <w:rFonts w:ascii="Verdana" w:eastAsia="Times New Roman" w:hAnsi="Verdana" w:cs="Times New Roman"/>
          <w:sz w:val="20"/>
          <w:szCs w:val="20"/>
          <w:lang w:val="en-US" w:eastAsia="es-ES"/>
        </w:rPr>
        <w:t xml:space="preserve"> was performed for the first time in the country.</w:t>
      </w:r>
      <w:r w:rsidRPr="00457005">
        <w:rPr>
          <w:rFonts w:ascii="Verdana" w:eastAsia="Times New Roman" w:hAnsi="Verdana" w:cs="Times New Roman"/>
          <w:sz w:val="20"/>
          <w:szCs w:val="20"/>
          <w:lang w:val="en-US" w:eastAsia="es-ES"/>
        </w:rPr>
        <w:br/>
      </w:r>
      <w:r w:rsidRPr="00457005">
        <w:rPr>
          <w:rFonts w:ascii="Verdana" w:eastAsia="Times New Roman" w:hAnsi="Verdana" w:cs="Times New Roman"/>
          <w:b/>
          <w:bCs/>
          <w:sz w:val="20"/>
          <w:szCs w:val="20"/>
          <w:lang w:val="en-US" w:eastAsia="es-ES"/>
        </w:rPr>
        <w:t>Results:</w:t>
      </w:r>
      <w:r w:rsidRPr="00457005">
        <w:rPr>
          <w:rFonts w:ascii="Verdana" w:eastAsia="Times New Roman" w:hAnsi="Verdana" w:cs="Times New Roman"/>
          <w:sz w:val="20"/>
          <w:szCs w:val="20"/>
          <w:lang w:val="en-US" w:eastAsia="es-ES"/>
        </w:rPr>
        <w:t xml:space="preserve"> in this group, 66.7 % of patients had satisfactory results. Age and clinical severity of retraction were the factors having influence on the therapeutic response (</w:t>
      </w:r>
      <w:r w:rsidRPr="00457005">
        <w:rPr>
          <w:rFonts w:ascii="Verdana" w:eastAsia="Times New Roman" w:hAnsi="Verdana" w:cs="Times New Roman"/>
          <w:i/>
          <w:iCs/>
          <w:sz w:val="20"/>
          <w:szCs w:val="20"/>
          <w:lang w:val="en-US" w:eastAsia="es-ES"/>
        </w:rPr>
        <w:t>p=</w:t>
      </w:r>
      <w:r w:rsidRPr="00457005">
        <w:rPr>
          <w:rFonts w:ascii="Verdana" w:eastAsia="Times New Roman" w:hAnsi="Verdana" w:cs="Times New Roman"/>
          <w:sz w:val="20"/>
          <w:szCs w:val="20"/>
          <w:lang w:val="en-US" w:eastAsia="es-ES"/>
        </w:rPr>
        <w:t xml:space="preserve"> 0.013 and </w:t>
      </w:r>
      <w:r w:rsidRPr="00457005">
        <w:rPr>
          <w:rFonts w:ascii="Verdana" w:eastAsia="Times New Roman" w:hAnsi="Verdana" w:cs="Times New Roman"/>
          <w:i/>
          <w:iCs/>
          <w:sz w:val="20"/>
          <w:szCs w:val="20"/>
          <w:lang w:val="en-US" w:eastAsia="es-ES"/>
        </w:rPr>
        <w:t>p=</w:t>
      </w:r>
      <w:r w:rsidRPr="00457005">
        <w:rPr>
          <w:rFonts w:ascii="Verdana" w:eastAsia="Times New Roman" w:hAnsi="Verdana" w:cs="Times New Roman"/>
          <w:sz w:val="20"/>
          <w:szCs w:val="20"/>
          <w:lang w:val="en-US" w:eastAsia="es-ES"/>
        </w:rPr>
        <w:t xml:space="preserve"> 0.015 respectively).</w:t>
      </w:r>
      <w:r w:rsidRPr="00457005">
        <w:rPr>
          <w:rFonts w:ascii="Verdana" w:eastAsia="Times New Roman" w:hAnsi="Verdana" w:cs="Times New Roman"/>
          <w:sz w:val="20"/>
          <w:szCs w:val="20"/>
          <w:lang w:val="en-US" w:eastAsia="es-ES"/>
        </w:rPr>
        <w:br/>
      </w:r>
      <w:r w:rsidRPr="00457005">
        <w:rPr>
          <w:rFonts w:ascii="Verdana" w:eastAsia="Times New Roman" w:hAnsi="Verdana" w:cs="Times New Roman"/>
          <w:b/>
          <w:bCs/>
          <w:sz w:val="20"/>
          <w:szCs w:val="20"/>
          <w:lang w:val="en-US" w:eastAsia="es-ES"/>
        </w:rPr>
        <w:t>Conclusions:</w:t>
      </w:r>
      <w:r w:rsidRPr="00457005">
        <w:rPr>
          <w:rFonts w:ascii="Verdana" w:eastAsia="Times New Roman" w:hAnsi="Verdana" w:cs="Times New Roman"/>
          <w:sz w:val="20"/>
          <w:szCs w:val="20"/>
          <w:lang w:val="en-US" w:eastAsia="es-ES"/>
        </w:rPr>
        <w:t xml:space="preserve"> the </w:t>
      </w:r>
      <w:proofErr w:type="spellStart"/>
      <w:r w:rsidRPr="00457005">
        <w:rPr>
          <w:rFonts w:ascii="Verdana" w:eastAsia="Times New Roman" w:hAnsi="Verdana" w:cs="Times New Roman"/>
          <w:sz w:val="20"/>
          <w:szCs w:val="20"/>
          <w:lang w:val="en-US" w:eastAsia="es-ES"/>
        </w:rPr>
        <w:t>botulinum</w:t>
      </w:r>
      <w:proofErr w:type="spellEnd"/>
      <w:r w:rsidRPr="00457005">
        <w:rPr>
          <w:rFonts w:ascii="Verdana" w:eastAsia="Times New Roman" w:hAnsi="Verdana" w:cs="Times New Roman"/>
          <w:sz w:val="20"/>
          <w:szCs w:val="20"/>
          <w:lang w:val="en-US" w:eastAsia="es-ES"/>
        </w:rPr>
        <w:t xml:space="preserve"> toxin injection into the upper rectus muscle is effective in most of treated cases, mainly in young adults with less clinical retraction severity. Hypercorrection is the most fearful complication in this procedure.</w:t>
      </w:r>
    </w:p>
    <w:p w:rsidR="00457005" w:rsidRPr="00457005" w:rsidRDefault="00457005" w:rsidP="00457005">
      <w:pPr>
        <w:spacing w:before="100" w:beforeAutospacing="1" w:after="100" w:afterAutospacing="1" w:line="240" w:lineRule="auto"/>
        <w:rPr>
          <w:rFonts w:ascii="Times New Roman" w:eastAsia="Times New Roman" w:hAnsi="Times New Roman" w:cs="Times New Roman"/>
          <w:sz w:val="24"/>
          <w:szCs w:val="24"/>
          <w:lang w:val="en-US" w:eastAsia="es-ES"/>
        </w:rPr>
      </w:pPr>
      <w:r w:rsidRPr="00457005">
        <w:rPr>
          <w:rFonts w:ascii="Verdana" w:eastAsia="Times New Roman" w:hAnsi="Verdana" w:cs="Times New Roman"/>
          <w:b/>
          <w:bCs/>
          <w:sz w:val="20"/>
          <w:szCs w:val="20"/>
          <w:lang w:val="en-US" w:eastAsia="es-ES"/>
        </w:rPr>
        <w:t>Key words:</w:t>
      </w:r>
      <w:r w:rsidRPr="00457005">
        <w:rPr>
          <w:rFonts w:ascii="Verdana" w:eastAsia="Times New Roman" w:hAnsi="Verdana" w:cs="Times New Roman"/>
          <w:sz w:val="20"/>
          <w:szCs w:val="20"/>
          <w:lang w:val="en-US" w:eastAsia="es-ES"/>
        </w:rPr>
        <w:t xml:space="preserve"> eyelid retraction; </w:t>
      </w:r>
      <w:proofErr w:type="spellStart"/>
      <w:r w:rsidRPr="00457005">
        <w:rPr>
          <w:rFonts w:ascii="Verdana" w:eastAsia="Times New Roman" w:hAnsi="Verdana" w:cs="Times New Roman"/>
          <w:sz w:val="20"/>
          <w:szCs w:val="20"/>
          <w:lang w:val="en-US" w:eastAsia="es-ES"/>
        </w:rPr>
        <w:t>botulinum</w:t>
      </w:r>
      <w:proofErr w:type="spellEnd"/>
      <w:r w:rsidRPr="00457005">
        <w:rPr>
          <w:rFonts w:ascii="Verdana" w:eastAsia="Times New Roman" w:hAnsi="Verdana" w:cs="Times New Roman"/>
          <w:sz w:val="20"/>
          <w:szCs w:val="20"/>
          <w:lang w:val="en-US" w:eastAsia="es-ES"/>
        </w:rPr>
        <w:t xml:space="preserve"> toxin; thyroid </w:t>
      </w:r>
      <w:proofErr w:type="spellStart"/>
      <w:r w:rsidRPr="00457005">
        <w:rPr>
          <w:rFonts w:ascii="Verdana" w:eastAsia="Times New Roman" w:hAnsi="Verdana" w:cs="Times New Roman"/>
          <w:sz w:val="20"/>
          <w:szCs w:val="20"/>
          <w:lang w:val="en-US" w:eastAsia="es-ES"/>
        </w:rPr>
        <w:t>orbitopathy</w:t>
      </w:r>
      <w:proofErr w:type="spellEnd"/>
      <w:r w:rsidRPr="00457005">
        <w:rPr>
          <w:rFonts w:ascii="Verdana" w:eastAsia="Times New Roman" w:hAnsi="Verdana" w:cs="Times New Roman"/>
          <w:sz w:val="20"/>
          <w:szCs w:val="20"/>
          <w:lang w:val="en-US" w:eastAsia="es-ES"/>
        </w:rPr>
        <w:t>.</w:t>
      </w:r>
    </w:p>
    <w:p w:rsidR="00457005" w:rsidRPr="00457005" w:rsidRDefault="00FE2AC4" w:rsidP="0045700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v:rect id="_x0000_i1025" style="width:0;height:1.5pt" o:hralign="center" o:hrstd="t" o:hr="t" fillcolor="#a0a0a0" stroked="f"/>
        </w:pict>
      </w:r>
    </w:p>
    <w:p w:rsidR="00457005" w:rsidRPr="00457005" w:rsidRDefault="00457005" w:rsidP="00457005">
      <w:pPr>
        <w:spacing w:before="100" w:beforeAutospacing="1" w:after="100" w:afterAutospacing="1" w:line="240" w:lineRule="auto"/>
        <w:rPr>
          <w:rFonts w:ascii="Times New Roman" w:eastAsia="Times New Roman" w:hAnsi="Times New Roman" w:cs="Times New Roman"/>
          <w:sz w:val="24"/>
          <w:szCs w:val="24"/>
          <w:lang w:eastAsia="es-ES"/>
        </w:rPr>
      </w:pPr>
      <w:r w:rsidRPr="00457005">
        <w:rPr>
          <w:rFonts w:ascii="Times New Roman" w:eastAsia="Times New Roman" w:hAnsi="Times New Roman" w:cs="Times New Roman"/>
          <w:sz w:val="24"/>
          <w:szCs w:val="24"/>
          <w:lang w:eastAsia="es-ES"/>
        </w:rPr>
        <w:t> </w:t>
      </w:r>
    </w:p>
    <w:p w:rsidR="00457005" w:rsidRDefault="00457005" w:rsidP="00457005">
      <w:pPr>
        <w:pStyle w:val="NormalWeb"/>
      </w:pPr>
      <w:r>
        <w:rPr>
          <w:rFonts w:ascii="Verdana" w:hAnsi="Verdana"/>
          <w:b/>
          <w:bCs/>
        </w:rPr>
        <w:t>INTRODUCCIÓN</w:t>
      </w:r>
      <w:r>
        <w:rPr>
          <w:rFonts w:ascii="Verdana" w:hAnsi="Verdana"/>
          <w:sz w:val="20"/>
          <w:szCs w:val="20"/>
        </w:rPr>
        <w:t xml:space="preserve"> </w:t>
      </w:r>
    </w:p>
    <w:p w:rsidR="00457005" w:rsidRDefault="00457005" w:rsidP="00457005">
      <w:pPr>
        <w:pStyle w:val="NormalWeb"/>
      </w:pPr>
      <w:r>
        <w:rPr>
          <w:rFonts w:ascii="Verdana" w:hAnsi="Verdana"/>
          <w:sz w:val="20"/>
          <w:szCs w:val="20"/>
        </w:rPr>
        <w:t xml:space="preserve">La </w:t>
      </w:r>
      <w:proofErr w:type="spellStart"/>
      <w:r>
        <w:rPr>
          <w:rFonts w:ascii="Verdana" w:hAnsi="Verdana"/>
          <w:sz w:val="20"/>
          <w:szCs w:val="20"/>
        </w:rPr>
        <w:t>orbitopatía</w:t>
      </w:r>
      <w:proofErr w:type="spellEnd"/>
      <w:r>
        <w:rPr>
          <w:rFonts w:ascii="Verdana" w:hAnsi="Verdana"/>
          <w:sz w:val="20"/>
          <w:szCs w:val="20"/>
        </w:rPr>
        <w:t xml:space="preserve"> tiroidea (OT) es una enfermedad autoinmune sin relación directa con las alteraciones metabólicas causadas por la sobreproducción de la hormona tiroidea. Es más frecuente en las mujeres de 30 a 35 años de edad.</w:t>
      </w:r>
      <w:r>
        <w:rPr>
          <w:rFonts w:ascii="Verdana" w:hAnsi="Verdana"/>
          <w:sz w:val="20"/>
          <w:szCs w:val="20"/>
          <w:vertAlign w:val="superscript"/>
        </w:rPr>
        <w:t>1</w:t>
      </w:r>
      <w:proofErr w:type="gramStart"/>
      <w:r>
        <w:rPr>
          <w:rFonts w:ascii="Verdana" w:hAnsi="Verdana"/>
          <w:sz w:val="20"/>
          <w:szCs w:val="20"/>
          <w:vertAlign w:val="superscript"/>
        </w:rPr>
        <w:t>,2</w:t>
      </w:r>
      <w:proofErr w:type="gramEnd"/>
      <w:r>
        <w:rPr>
          <w:rFonts w:ascii="Verdana" w:hAnsi="Verdana"/>
          <w:sz w:val="20"/>
          <w:szCs w:val="20"/>
        </w:rPr>
        <w:t xml:space="preserve"> La retracción palpebral se observa en el 90 % de los pacientes con OT.</w:t>
      </w:r>
      <w:r>
        <w:rPr>
          <w:rFonts w:ascii="Verdana" w:hAnsi="Verdana"/>
          <w:sz w:val="20"/>
          <w:szCs w:val="20"/>
          <w:vertAlign w:val="superscript"/>
        </w:rPr>
        <w:t>1,2</w:t>
      </w:r>
      <w:r>
        <w:rPr>
          <w:rFonts w:ascii="Verdana" w:hAnsi="Verdana"/>
          <w:sz w:val="20"/>
          <w:szCs w:val="20"/>
        </w:rPr>
        <w:t xml:space="preserve"> Estos pacientes tienen lagrimeo y fotofobia, relacionado con la queratitis por exposición, que puede llegar a la perforación de la córnea en los casos más afectados, además de la deformación facial que provoca una afección que predomina en las mujeres jóvenes. Se considera que existe retracción palpebral si, con los ojos en posición primaria, la esclerótica es visible por encima del limbo corneal superior. La OT es la causa más frecuente en los adultos. Existen otras causas como el signo de </w:t>
      </w:r>
      <w:proofErr w:type="spellStart"/>
      <w:r>
        <w:rPr>
          <w:rFonts w:ascii="Verdana" w:hAnsi="Verdana"/>
          <w:i/>
          <w:iCs/>
          <w:sz w:val="20"/>
          <w:szCs w:val="20"/>
        </w:rPr>
        <w:t>Cottier</w:t>
      </w:r>
      <w:proofErr w:type="spellEnd"/>
      <w:r>
        <w:rPr>
          <w:rFonts w:ascii="Verdana" w:hAnsi="Verdana"/>
          <w:sz w:val="20"/>
          <w:szCs w:val="20"/>
        </w:rPr>
        <w:t xml:space="preserve"> o síndrome </w:t>
      </w:r>
      <w:proofErr w:type="spellStart"/>
      <w:r>
        <w:rPr>
          <w:rFonts w:ascii="Verdana" w:hAnsi="Verdana"/>
          <w:sz w:val="20"/>
          <w:szCs w:val="20"/>
        </w:rPr>
        <w:t>mesencefálico</w:t>
      </w:r>
      <w:proofErr w:type="spellEnd"/>
      <w:r>
        <w:rPr>
          <w:rFonts w:ascii="Verdana" w:hAnsi="Verdana"/>
          <w:sz w:val="20"/>
          <w:szCs w:val="20"/>
        </w:rPr>
        <w:t xml:space="preserve"> dorsal, la regeneración aberrante del III par y la fibrosis idiopática del elevador del párpado superior (EPS). Para su tratamiento, se han empleado inyecciones de TBA por vía </w:t>
      </w:r>
      <w:proofErr w:type="spellStart"/>
      <w:r>
        <w:rPr>
          <w:rFonts w:ascii="Verdana" w:hAnsi="Verdana"/>
          <w:sz w:val="20"/>
          <w:szCs w:val="20"/>
        </w:rPr>
        <w:t>subconjuntival</w:t>
      </w:r>
      <w:proofErr w:type="spellEnd"/>
      <w:r>
        <w:rPr>
          <w:rFonts w:ascii="Verdana" w:hAnsi="Verdana"/>
          <w:sz w:val="20"/>
          <w:szCs w:val="20"/>
        </w:rPr>
        <w:t xml:space="preserve"> y subcutánea.</w:t>
      </w:r>
      <w:r>
        <w:rPr>
          <w:rFonts w:ascii="Verdana" w:hAnsi="Verdana"/>
          <w:sz w:val="20"/>
          <w:szCs w:val="20"/>
          <w:vertAlign w:val="superscript"/>
        </w:rPr>
        <w:t>2</w:t>
      </w:r>
      <w:r>
        <w:rPr>
          <w:rFonts w:ascii="Verdana" w:hAnsi="Verdana"/>
          <w:sz w:val="20"/>
          <w:szCs w:val="20"/>
        </w:rPr>
        <w:t xml:space="preserve"> </w:t>
      </w:r>
    </w:p>
    <w:p w:rsidR="00457005" w:rsidRDefault="00457005" w:rsidP="00457005">
      <w:pPr>
        <w:pStyle w:val="NormalWeb"/>
      </w:pPr>
      <w:r>
        <w:rPr>
          <w:rFonts w:ascii="Verdana" w:hAnsi="Verdana"/>
          <w:sz w:val="20"/>
          <w:szCs w:val="20"/>
        </w:rPr>
        <w:t xml:space="preserve">Existen varios mecanismos </w:t>
      </w:r>
      <w:proofErr w:type="spellStart"/>
      <w:r>
        <w:rPr>
          <w:rFonts w:ascii="Verdana" w:hAnsi="Verdana"/>
          <w:sz w:val="20"/>
          <w:szCs w:val="20"/>
        </w:rPr>
        <w:t>fisiopatogénicos</w:t>
      </w:r>
      <w:proofErr w:type="spellEnd"/>
      <w:r>
        <w:rPr>
          <w:rFonts w:ascii="Verdana" w:hAnsi="Verdana"/>
          <w:sz w:val="20"/>
          <w:szCs w:val="20"/>
        </w:rPr>
        <w:t xml:space="preserve"> involucrados en la retracción palpebral de la OT. La hiperfunción del músculo de Müller durante el hipertiroidismo es el más frecuente y se manifiesta en los casos leves. En los más afectados se añade la hiperfunción del complejo integrado por el recto superior con elevador del párpado superior (RS-EPS), como consecuencia de la fibrosis del músculo recto inferior (RI).</w:t>
      </w:r>
      <w:r>
        <w:rPr>
          <w:rFonts w:ascii="Verdana" w:hAnsi="Verdana"/>
          <w:sz w:val="20"/>
          <w:szCs w:val="20"/>
          <w:vertAlign w:val="superscript"/>
        </w:rPr>
        <w:t>1,2</w:t>
      </w:r>
      <w:r>
        <w:rPr>
          <w:rFonts w:ascii="Verdana" w:hAnsi="Verdana"/>
          <w:sz w:val="20"/>
          <w:szCs w:val="20"/>
        </w:rPr>
        <w:t xml:space="preserve"> Según los milímetros de separación del párpado de los límites fisiológicos antes expuestos, la retracción se clasifica en leve (1 mm), moderada (2 a 3 mm) y grave de 4 o más mm.</w:t>
      </w:r>
      <w:r>
        <w:rPr>
          <w:rFonts w:ascii="Verdana" w:hAnsi="Verdana"/>
          <w:sz w:val="20"/>
          <w:szCs w:val="20"/>
          <w:vertAlign w:val="superscript"/>
        </w:rPr>
        <w:t>1</w:t>
      </w:r>
      <w:r>
        <w:rPr>
          <w:rFonts w:ascii="Verdana" w:hAnsi="Verdana"/>
          <w:sz w:val="20"/>
          <w:szCs w:val="20"/>
        </w:rPr>
        <w:t xml:space="preserve"> El tratamiento convencional es con lubricantes oculares en colirios y en gel, gafas para el sol y oclusión nocturna.</w:t>
      </w:r>
      <w:r>
        <w:rPr>
          <w:rFonts w:ascii="Verdana" w:hAnsi="Verdana"/>
          <w:sz w:val="20"/>
          <w:szCs w:val="20"/>
          <w:vertAlign w:val="superscript"/>
        </w:rPr>
        <w:t>2</w:t>
      </w:r>
      <w:r>
        <w:rPr>
          <w:rFonts w:ascii="Verdana" w:hAnsi="Verdana"/>
          <w:sz w:val="20"/>
          <w:szCs w:val="20"/>
        </w:rPr>
        <w:t xml:space="preserve"> La sección quirúrgica del músculo de Müller y de la aponeurosis del EPS son las técnicas más utilizadas, las cuales se realizan cuando el paciente está </w:t>
      </w:r>
      <w:proofErr w:type="spellStart"/>
      <w:r>
        <w:rPr>
          <w:rFonts w:ascii="Verdana" w:hAnsi="Verdana"/>
          <w:sz w:val="20"/>
          <w:szCs w:val="20"/>
        </w:rPr>
        <w:t>eutiroideo</w:t>
      </w:r>
      <w:proofErr w:type="spellEnd"/>
      <w:r>
        <w:rPr>
          <w:rFonts w:ascii="Verdana" w:hAnsi="Verdana"/>
          <w:sz w:val="20"/>
          <w:szCs w:val="20"/>
        </w:rPr>
        <w:t xml:space="preserve"> y sin actividad inflamatoria por un período de 6 meses a 1 año.</w:t>
      </w:r>
      <w:r>
        <w:rPr>
          <w:rFonts w:ascii="Verdana" w:hAnsi="Verdana"/>
          <w:sz w:val="20"/>
          <w:szCs w:val="20"/>
          <w:vertAlign w:val="superscript"/>
        </w:rPr>
        <w:t>1,2</w:t>
      </w:r>
      <w:r>
        <w:rPr>
          <w:rFonts w:ascii="Verdana" w:hAnsi="Verdana"/>
          <w:sz w:val="20"/>
          <w:szCs w:val="20"/>
        </w:rPr>
        <w:t xml:space="preserve"> </w:t>
      </w:r>
    </w:p>
    <w:p w:rsidR="00457005" w:rsidRDefault="00457005" w:rsidP="00457005">
      <w:pPr>
        <w:pStyle w:val="NormalWeb"/>
      </w:pPr>
      <w:r>
        <w:rPr>
          <w:rFonts w:ascii="Verdana" w:hAnsi="Verdana"/>
          <w:sz w:val="20"/>
          <w:szCs w:val="20"/>
        </w:rPr>
        <w:lastRenderedPageBreak/>
        <w:t xml:space="preserve">En el año 1980, </w:t>
      </w:r>
      <w:r>
        <w:rPr>
          <w:rFonts w:ascii="Verdana" w:hAnsi="Verdana"/>
          <w:i/>
          <w:iCs/>
          <w:sz w:val="20"/>
          <w:szCs w:val="20"/>
        </w:rPr>
        <w:t>Alan Scout</w:t>
      </w:r>
      <w:r>
        <w:rPr>
          <w:rFonts w:ascii="Verdana" w:hAnsi="Verdana"/>
          <w:sz w:val="20"/>
          <w:szCs w:val="20"/>
          <w:vertAlign w:val="superscript"/>
        </w:rPr>
        <w:t>3</w:t>
      </w:r>
      <w:r>
        <w:rPr>
          <w:rFonts w:ascii="Verdana" w:hAnsi="Verdana"/>
          <w:sz w:val="20"/>
          <w:szCs w:val="20"/>
        </w:rPr>
        <w:t xml:space="preserve"> introdujo la inyección de toxina botulínica (TBA) como una alternativa terapéutica para la retracción palpebral de la OT, seguido por </w:t>
      </w:r>
      <w:r>
        <w:rPr>
          <w:rFonts w:ascii="Verdana" w:hAnsi="Verdana"/>
          <w:i/>
          <w:iCs/>
          <w:sz w:val="20"/>
          <w:szCs w:val="20"/>
        </w:rPr>
        <w:t>Ebner</w:t>
      </w:r>
      <w:r>
        <w:rPr>
          <w:rFonts w:ascii="Verdana" w:hAnsi="Verdana"/>
          <w:sz w:val="20"/>
          <w:szCs w:val="20"/>
          <w:vertAlign w:val="superscript"/>
        </w:rPr>
        <w:t xml:space="preserve">4 </w:t>
      </w:r>
      <w:r>
        <w:rPr>
          <w:rFonts w:ascii="Verdana" w:hAnsi="Verdana"/>
          <w:sz w:val="20"/>
          <w:szCs w:val="20"/>
        </w:rPr>
        <w:t xml:space="preserve">en 1993. Un año después, </w:t>
      </w:r>
      <w:r>
        <w:rPr>
          <w:rFonts w:ascii="Verdana" w:hAnsi="Verdana"/>
          <w:i/>
          <w:iCs/>
          <w:sz w:val="20"/>
          <w:szCs w:val="20"/>
        </w:rPr>
        <w:t>Biglan</w:t>
      </w:r>
      <w:r>
        <w:rPr>
          <w:rFonts w:ascii="Verdana" w:hAnsi="Verdana"/>
          <w:sz w:val="20"/>
          <w:szCs w:val="20"/>
          <w:vertAlign w:val="superscript"/>
        </w:rPr>
        <w:t xml:space="preserve">5 </w:t>
      </w:r>
      <w:r>
        <w:rPr>
          <w:rFonts w:ascii="Verdana" w:hAnsi="Verdana"/>
          <w:sz w:val="20"/>
          <w:szCs w:val="20"/>
        </w:rPr>
        <w:t xml:space="preserve">obtuvo buenos resultados por vía subcutánea, y </w:t>
      </w:r>
      <w:r>
        <w:rPr>
          <w:rFonts w:ascii="Verdana" w:hAnsi="Verdana"/>
          <w:i/>
          <w:iCs/>
          <w:sz w:val="20"/>
          <w:szCs w:val="20"/>
        </w:rPr>
        <w:t>Uddin</w:t>
      </w:r>
      <w:r>
        <w:rPr>
          <w:rFonts w:ascii="Verdana" w:hAnsi="Verdana"/>
          <w:sz w:val="20"/>
          <w:szCs w:val="20"/>
          <w:vertAlign w:val="superscript"/>
        </w:rPr>
        <w:t>6</w:t>
      </w:r>
      <w:r>
        <w:rPr>
          <w:rFonts w:ascii="Verdana" w:hAnsi="Verdana"/>
          <w:sz w:val="20"/>
          <w:szCs w:val="20"/>
        </w:rPr>
        <w:t xml:space="preserve"> por la vía </w:t>
      </w:r>
      <w:proofErr w:type="spellStart"/>
      <w:r>
        <w:rPr>
          <w:rFonts w:ascii="Verdana" w:hAnsi="Verdana"/>
          <w:sz w:val="20"/>
          <w:szCs w:val="20"/>
        </w:rPr>
        <w:t>subconjuntival</w:t>
      </w:r>
      <w:proofErr w:type="spellEnd"/>
      <w:r>
        <w:rPr>
          <w:rFonts w:ascii="Verdana" w:hAnsi="Verdana"/>
          <w:sz w:val="20"/>
          <w:szCs w:val="20"/>
        </w:rPr>
        <w:t xml:space="preserve">, con similares resultados. Este medicamento se difunde desde el sitio de la inyección subcutánea o </w:t>
      </w:r>
      <w:proofErr w:type="spellStart"/>
      <w:r>
        <w:rPr>
          <w:rFonts w:ascii="Verdana" w:hAnsi="Verdana"/>
          <w:sz w:val="20"/>
          <w:szCs w:val="20"/>
        </w:rPr>
        <w:t>subconjuntival</w:t>
      </w:r>
      <w:proofErr w:type="spellEnd"/>
      <w:r>
        <w:rPr>
          <w:rFonts w:ascii="Verdana" w:hAnsi="Verdana"/>
          <w:sz w:val="20"/>
          <w:szCs w:val="20"/>
        </w:rPr>
        <w:t xml:space="preserve"> hacia el músculo EPS y causa una parálisis flácida temporal, por bloqueo de la conducción neuromuscular al impedir la liberación de acetilcolina a nivel de la placa neuromuscular, por lo que se debilita su acción y el párpado superior regresa a su contorno normal por un periodo de 3 a 4 meses.</w:t>
      </w:r>
      <w:r>
        <w:rPr>
          <w:rFonts w:ascii="Verdana" w:hAnsi="Verdana"/>
          <w:sz w:val="20"/>
          <w:szCs w:val="20"/>
          <w:vertAlign w:val="superscript"/>
        </w:rPr>
        <w:t>7-12</w:t>
      </w:r>
      <w:r>
        <w:rPr>
          <w:rFonts w:ascii="Verdana" w:hAnsi="Verdana"/>
          <w:sz w:val="20"/>
          <w:szCs w:val="20"/>
        </w:rPr>
        <w:t xml:space="preserve"> </w:t>
      </w:r>
    </w:p>
    <w:p w:rsidR="00457005" w:rsidRDefault="00457005" w:rsidP="00457005">
      <w:pPr>
        <w:pStyle w:val="NormalWeb"/>
      </w:pPr>
      <w:r>
        <w:rPr>
          <w:rFonts w:ascii="Verdana" w:hAnsi="Verdana"/>
          <w:sz w:val="20"/>
          <w:szCs w:val="20"/>
        </w:rPr>
        <w:t xml:space="preserve">Los resultados del tratamiento de la retracción palpebral con TBA por vía subcutánea y </w:t>
      </w:r>
      <w:proofErr w:type="spellStart"/>
      <w:r>
        <w:rPr>
          <w:rFonts w:ascii="Verdana" w:hAnsi="Verdana"/>
          <w:sz w:val="20"/>
          <w:szCs w:val="20"/>
        </w:rPr>
        <w:t>subconjuntival</w:t>
      </w:r>
      <w:proofErr w:type="spellEnd"/>
      <w:r>
        <w:rPr>
          <w:rFonts w:ascii="Verdana" w:hAnsi="Verdana"/>
          <w:sz w:val="20"/>
          <w:szCs w:val="20"/>
        </w:rPr>
        <w:t>, publicados en el año 2010,</w:t>
      </w:r>
      <w:r>
        <w:rPr>
          <w:rFonts w:ascii="Verdana" w:hAnsi="Verdana"/>
          <w:sz w:val="20"/>
          <w:szCs w:val="20"/>
          <w:vertAlign w:val="superscript"/>
        </w:rPr>
        <w:t>13</w:t>
      </w:r>
      <w:r>
        <w:rPr>
          <w:rFonts w:ascii="Verdana" w:hAnsi="Verdana"/>
          <w:sz w:val="20"/>
          <w:szCs w:val="20"/>
        </w:rPr>
        <w:t xml:space="preserve"> no fueron satisfactorios en los casos con retracción palpebral moderada y grave con hiperfunción del RS y de la fibrosis del RI. En el año 2010</w:t>
      </w:r>
      <w:r>
        <w:rPr>
          <w:rFonts w:ascii="Verdana" w:hAnsi="Verdana"/>
          <w:sz w:val="20"/>
          <w:szCs w:val="20"/>
          <w:vertAlign w:val="superscript"/>
        </w:rPr>
        <w:t xml:space="preserve">14 </w:t>
      </w:r>
      <w:r>
        <w:rPr>
          <w:rFonts w:ascii="Verdana" w:hAnsi="Verdana"/>
          <w:sz w:val="20"/>
          <w:szCs w:val="20"/>
        </w:rPr>
        <w:t>y en el 2015,</w:t>
      </w:r>
      <w:r>
        <w:rPr>
          <w:rFonts w:ascii="Verdana" w:hAnsi="Verdana"/>
          <w:sz w:val="20"/>
          <w:szCs w:val="20"/>
          <w:vertAlign w:val="superscript"/>
        </w:rPr>
        <w:t>15</w:t>
      </w:r>
      <w:r>
        <w:rPr>
          <w:rFonts w:ascii="Verdana" w:hAnsi="Verdana"/>
          <w:sz w:val="20"/>
          <w:szCs w:val="20"/>
        </w:rPr>
        <w:t xml:space="preserve"> la autora de la presente investigación inyectó la TBA en los músculos extraoculares de los pacientes con estrabismo en el curso de la OT y otras afecciones. A pesar de que no estaba planteado en los objetivos de la investigación, se observó una reducción significativa de la retracción palpebral superior al inyectarlo en el RS en algunos casos con OT, los cuales tenían retracción moderada a grave, además del estrabismo. </w:t>
      </w:r>
    </w:p>
    <w:p w:rsidR="00457005" w:rsidRDefault="00457005" w:rsidP="00457005">
      <w:pPr>
        <w:pStyle w:val="NormalWeb"/>
      </w:pPr>
      <w:r>
        <w:rPr>
          <w:rFonts w:ascii="Verdana" w:hAnsi="Verdana"/>
          <w:sz w:val="20"/>
          <w:szCs w:val="20"/>
        </w:rPr>
        <w:t xml:space="preserve">El objetivo fundamental de esta investigación fue evaluar los resultados de la inyección del medicamento directamente en el vientre del músculo RS, en pacientes con retracción moderada y grave para, de esta forma, actuar sobre el mecanismo </w:t>
      </w:r>
      <w:proofErr w:type="spellStart"/>
      <w:r>
        <w:rPr>
          <w:rFonts w:ascii="Verdana" w:hAnsi="Verdana"/>
          <w:sz w:val="20"/>
          <w:szCs w:val="20"/>
        </w:rPr>
        <w:t>fisiopatogénico</w:t>
      </w:r>
      <w:proofErr w:type="spellEnd"/>
      <w:r>
        <w:rPr>
          <w:rFonts w:ascii="Verdana" w:hAnsi="Verdana"/>
          <w:sz w:val="20"/>
          <w:szCs w:val="20"/>
        </w:rPr>
        <w:t xml:space="preserve"> de la OT; es decir, hiperfunción del complejo integrado por el RS- EPS, teniendo en cuenta la fibrosis del músculo recto inferior (RI), que adendas está basado en la experiencia de la autora</w:t>
      </w:r>
      <w:r>
        <w:rPr>
          <w:rFonts w:ascii="Verdana" w:hAnsi="Verdana"/>
          <w:sz w:val="20"/>
          <w:szCs w:val="20"/>
          <w:vertAlign w:val="superscript"/>
        </w:rPr>
        <w:t xml:space="preserve">12-15 </w:t>
      </w:r>
      <w:r>
        <w:rPr>
          <w:rFonts w:ascii="Verdana" w:hAnsi="Verdana"/>
          <w:sz w:val="20"/>
          <w:szCs w:val="20"/>
        </w:rPr>
        <w:t>y de otras publicaciones</w:t>
      </w:r>
      <w:r>
        <w:rPr>
          <w:rFonts w:ascii="Verdana" w:hAnsi="Verdana"/>
          <w:sz w:val="20"/>
          <w:szCs w:val="20"/>
          <w:vertAlign w:val="superscript"/>
        </w:rPr>
        <w:t>4-7</w:t>
      </w:r>
      <w:r>
        <w:rPr>
          <w:rFonts w:ascii="Verdana" w:hAnsi="Verdana"/>
          <w:sz w:val="20"/>
          <w:szCs w:val="20"/>
        </w:rPr>
        <w:t xml:space="preserve"> sobre el tema. Esta modalidad terapéutica se utiliza por primera vez en el país; no se conocen otros reportes. En la literatura médica no existen antecedentes de la inyección directa en el vientre del músculo, pero en la presente investigación no se incurre en problemas éticos, pues el procedimiento se basa en la </w:t>
      </w:r>
      <w:proofErr w:type="spellStart"/>
      <w:r>
        <w:rPr>
          <w:rFonts w:ascii="Verdana" w:hAnsi="Verdana"/>
          <w:sz w:val="20"/>
          <w:szCs w:val="20"/>
        </w:rPr>
        <w:t>fisiopatogenia</w:t>
      </w:r>
      <w:proofErr w:type="spellEnd"/>
      <w:r>
        <w:rPr>
          <w:rFonts w:ascii="Verdana" w:hAnsi="Verdana"/>
          <w:sz w:val="20"/>
          <w:szCs w:val="20"/>
        </w:rPr>
        <w:t xml:space="preserve"> de la retracción moderada y grave. El músculo RS no se paraliza, ya que está en hiperfunción o hipertonía y el objetivo es evitar su contractura y corregir la retracción. </w:t>
      </w:r>
    </w:p>
    <w:p w:rsidR="00457005" w:rsidRDefault="00457005" w:rsidP="00457005">
      <w:pPr>
        <w:pStyle w:val="NormalWeb"/>
      </w:pPr>
      <w:r>
        <w:t xml:space="preserve">  </w:t>
      </w:r>
    </w:p>
    <w:p w:rsidR="00457005" w:rsidRDefault="00457005" w:rsidP="00457005">
      <w:pPr>
        <w:pStyle w:val="NormalWeb"/>
      </w:pPr>
      <w:r>
        <w:rPr>
          <w:rFonts w:ascii="Verdana" w:hAnsi="Verdana"/>
          <w:b/>
          <w:bCs/>
        </w:rPr>
        <w:t>MÉTODOS</w:t>
      </w:r>
      <w:r>
        <w:rPr>
          <w:rFonts w:ascii="Verdana" w:hAnsi="Verdana"/>
          <w:sz w:val="20"/>
          <w:szCs w:val="20"/>
        </w:rPr>
        <w:t xml:space="preserve"> </w:t>
      </w:r>
    </w:p>
    <w:p w:rsidR="00457005" w:rsidRDefault="00457005" w:rsidP="00457005">
      <w:pPr>
        <w:pStyle w:val="NormalWeb"/>
      </w:pPr>
      <w:r>
        <w:rPr>
          <w:rFonts w:ascii="Verdana" w:hAnsi="Verdana"/>
          <w:sz w:val="20"/>
          <w:szCs w:val="20"/>
        </w:rPr>
        <w:t xml:space="preserve">Se realizó un estudio descriptivo prospectivo en el Servicio de Oftalmología del Hospital "Hermanos Ameijeiras" (HHA). El universo estuvo conformado por los pacientes con retracción palpebral moderada y grave en el curso de la OT, que cumplían con los criterios de selección. Como criterios de inclusión se consideraron los pacientes mayores de 18 años de edad, con retracción palpebral moderada y grave en el curso de la OT y que dieran su consentimiento para participar en la investigación. Se excluyeron los pacientes con retracción palpebral por otras causas como son: tumoraciones </w:t>
      </w:r>
      <w:proofErr w:type="spellStart"/>
      <w:r>
        <w:rPr>
          <w:rFonts w:ascii="Verdana" w:hAnsi="Verdana"/>
          <w:sz w:val="20"/>
          <w:szCs w:val="20"/>
        </w:rPr>
        <w:t>retroculares</w:t>
      </w:r>
      <w:proofErr w:type="spellEnd"/>
      <w:r>
        <w:rPr>
          <w:rFonts w:ascii="Verdana" w:hAnsi="Verdana"/>
          <w:sz w:val="20"/>
          <w:szCs w:val="20"/>
        </w:rPr>
        <w:t xml:space="preserve"> u otras afecciones neurológicas y pacientes con infección ocular en el momento del tratamiento. Fueron tratados un total de 21 pacientes que acudieron a la consulta de </w:t>
      </w:r>
      <w:proofErr w:type="spellStart"/>
      <w:r>
        <w:rPr>
          <w:rFonts w:ascii="Verdana" w:hAnsi="Verdana"/>
          <w:sz w:val="20"/>
          <w:szCs w:val="20"/>
        </w:rPr>
        <w:t>Neuroftalmología</w:t>
      </w:r>
      <w:proofErr w:type="spellEnd"/>
      <w:r>
        <w:rPr>
          <w:rFonts w:ascii="Verdana" w:hAnsi="Verdana"/>
          <w:sz w:val="20"/>
          <w:szCs w:val="20"/>
        </w:rPr>
        <w:t xml:space="preserve"> del Hospital "Hermanos Ameijeiras", con retracción palpebral moderada y grave en el curso de la OT, en el periodo comprendido entre septiembre del año 2015 y marzo de 2016, los cuales cumplieron con los criterios de selección antes expuestos. Las variables del estudio fueron: la edad, según año biológico a partir de los 18 años; el sexo, en el que se utilizó la clasificación clínica de </w:t>
      </w:r>
      <w:r>
        <w:rPr>
          <w:rFonts w:ascii="Verdana" w:hAnsi="Verdana"/>
          <w:i/>
          <w:iCs/>
          <w:sz w:val="20"/>
          <w:szCs w:val="20"/>
        </w:rPr>
        <w:t>Pérez Moreiras</w:t>
      </w:r>
      <w:proofErr w:type="gramStart"/>
      <w:r>
        <w:rPr>
          <w:rFonts w:ascii="Verdana" w:hAnsi="Verdana"/>
          <w:sz w:val="20"/>
          <w:szCs w:val="20"/>
        </w:rPr>
        <w:t>,</w:t>
      </w:r>
      <w:r>
        <w:rPr>
          <w:rFonts w:ascii="Verdana" w:hAnsi="Verdana"/>
          <w:sz w:val="20"/>
          <w:szCs w:val="20"/>
          <w:vertAlign w:val="superscript"/>
        </w:rPr>
        <w:t>1</w:t>
      </w:r>
      <w:proofErr w:type="gramEnd"/>
      <w:r>
        <w:rPr>
          <w:rFonts w:ascii="Verdana" w:hAnsi="Verdana"/>
          <w:sz w:val="20"/>
          <w:szCs w:val="20"/>
        </w:rPr>
        <w:t xml:space="preserve"> quien las agrupa en leve (1 mm), moderada (2 a 3 mm) y grave de 4 o más </w:t>
      </w:r>
      <w:proofErr w:type="spellStart"/>
      <w:r>
        <w:rPr>
          <w:rFonts w:ascii="Verdana" w:hAnsi="Verdana"/>
          <w:sz w:val="20"/>
          <w:szCs w:val="20"/>
        </w:rPr>
        <w:t>mm.</w:t>
      </w:r>
      <w:proofErr w:type="spellEnd"/>
      <w:r>
        <w:rPr>
          <w:rFonts w:ascii="Verdana" w:hAnsi="Verdana"/>
          <w:sz w:val="20"/>
          <w:szCs w:val="20"/>
        </w:rPr>
        <w:t xml:space="preserve"> El tiempo de evolución se calculó en </w:t>
      </w:r>
      <w:r>
        <w:rPr>
          <w:rFonts w:ascii="Verdana" w:hAnsi="Verdana"/>
          <w:sz w:val="20"/>
          <w:szCs w:val="20"/>
        </w:rPr>
        <w:lastRenderedPageBreak/>
        <w:t xml:space="preserve">meses, desde el inicio de la OT hasta que el paciente acudió a la consulta y recibió el tratamiento. </w:t>
      </w:r>
    </w:p>
    <w:p w:rsidR="00457005" w:rsidRDefault="00457005" w:rsidP="00457005">
      <w:pPr>
        <w:pStyle w:val="NormalWeb"/>
      </w:pPr>
      <w:r>
        <w:rPr>
          <w:rFonts w:ascii="Verdana" w:hAnsi="Verdana"/>
          <w:sz w:val="20"/>
          <w:szCs w:val="20"/>
        </w:rPr>
        <w:t xml:space="preserve">Los resultados serían satisfactorios en los pacientes en quienes, después de la inyección de la TBA, disminuyeran los mm de retracción palpebral superior al nivel fisiológico y en los cuales se obtuviera la satisfacción del paciente; y no satisfactorios en los pacientes con retracción palpebral moderada y grave que, después de la inyección de la TBA, no mejoraran los parámetros antes expuestos, permanecieran igual o empeoraran y en los que no se obtuviera la satisfacción del paciente. Las complicaciones más frecuentes a tener en cuenta fueron la hipercorrección y la </w:t>
      </w:r>
      <w:proofErr w:type="spellStart"/>
      <w:r>
        <w:rPr>
          <w:rFonts w:ascii="Verdana" w:hAnsi="Verdana"/>
          <w:sz w:val="20"/>
          <w:szCs w:val="20"/>
        </w:rPr>
        <w:t>hipocorrección</w:t>
      </w:r>
      <w:proofErr w:type="spellEnd"/>
      <w:r>
        <w:rPr>
          <w:rFonts w:ascii="Verdana" w:hAnsi="Verdana"/>
          <w:sz w:val="20"/>
          <w:szCs w:val="20"/>
        </w:rPr>
        <w:t>, cuando después del procedimiento realizado el párpado quedara 1 mm o más por encima o por debajo del nivel fisiológico, respectivamente. Los pacientes fueron evaluados en la consulta y se realizó el examen oftalmológico que incluyó la medida del grado de retracción palpebral a través de una regla milimetrada. La afectación de los músculos RS y RI se evaluó por el método de Hirschberg.</w:t>
      </w:r>
      <w:r>
        <w:rPr>
          <w:rFonts w:ascii="Verdana" w:hAnsi="Verdana"/>
          <w:sz w:val="20"/>
          <w:szCs w:val="20"/>
          <w:vertAlign w:val="superscript"/>
        </w:rPr>
        <w:t>4</w:t>
      </w:r>
      <w:r>
        <w:rPr>
          <w:rFonts w:ascii="Verdana" w:hAnsi="Verdana"/>
          <w:sz w:val="20"/>
          <w:szCs w:val="20"/>
        </w:rPr>
        <w:t xml:space="preserve"> </w:t>
      </w:r>
    </w:p>
    <w:p w:rsidR="00457005" w:rsidRDefault="00457005" w:rsidP="00457005">
      <w:pPr>
        <w:pStyle w:val="NormalWeb"/>
      </w:pPr>
      <w:r>
        <w:rPr>
          <w:rFonts w:ascii="Verdana" w:hAnsi="Verdana"/>
          <w:sz w:val="20"/>
          <w:szCs w:val="20"/>
        </w:rPr>
        <w:t xml:space="preserve">La TBA marca </w:t>
      </w:r>
      <w:proofErr w:type="spellStart"/>
      <w:r>
        <w:rPr>
          <w:rFonts w:ascii="Verdana" w:hAnsi="Verdana"/>
          <w:sz w:val="20"/>
          <w:szCs w:val="20"/>
        </w:rPr>
        <w:t>Xeomín</w:t>
      </w:r>
      <w:proofErr w:type="spellEnd"/>
      <w:r>
        <w:rPr>
          <w:rFonts w:ascii="Verdana" w:hAnsi="Verdana"/>
          <w:sz w:val="20"/>
          <w:szCs w:val="20"/>
        </w:rPr>
        <w:t xml:space="preserve">, procedente de Alemania, se diluyó en 1 mm de solución salina estéril sin conservadores y se obtuvo una concentración de 10 unidades (U) por cada 0,1 </w:t>
      </w:r>
      <w:proofErr w:type="spellStart"/>
      <w:r>
        <w:rPr>
          <w:rFonts w:ascii="Verdana" w:hAnsi="Verdana"/>
          <w:sz w:val="20"/>
          <w:szCs w:val="20"/>
        </w:rPr>
        <w:t>mL</w:t>
      </w:r>
      <w:proofErr w:type="spellEnd"/>
      <w:r>
        <w:rPr>
          <w:rFonts w:ascii="Verdana" w:hAnsi="Verdana"/>
          <w:sz w:val="20"/>
          <w:szCs w:val="20"/>
        </w:rPr>
        <w:t xml:space="preserve">. Se realizó por inyección directa por vía </w:t>
      </w:r>
      <w:proofErr w:type="spellStart"/>
      <w:r>
        <w:rPr>
          <w:rFonts w:ascii="Verdana" w:hAnsi="Verdana"/>
          <w:sz w:val="20"/>
          <w:szCs w:val="20"/>
        </w:rPr>
        <w:t>transconjuntival</w:t>
      </w:r>
      <w:proofErr w:type="spellEnd"/>
      <w:r>
        <w:rPr>
          <w:rFonts w:ascii="Verdana" w:hAnsi="Verdana"/>
          <w:sz w:val="20"/>
          <w:szCs w:val="20"/>
        </w:rPr>
        <w:t xml:space="preserve"> en el músculo RS, a una dosis de 8 U en la moderada y 10 en la grave. Los pacientes se citaron a los 7 días, pero los resultados se evaluaron al mes del tratamiento. La información obtenida se recogió en la planilla de vaciamiento de datos. </w:t>
      </w:r>
    </w:p>
    <w:p w:rsidR="00457005" w:rsidRDefault="00457005" w:rsidP="00457005">
      <w:pPr>
        <w:pStyle w:val="NormalWeb"/>
      </w:pPr>
      <w:r>
        <w:rPr>
          <w:rFonts w:ascii="Verdana" w:hAnsi="Verdana"/>
          <w:sz w:val="20"/>
          <w:szCs w:val="20"/>
        </w:rPr>
        <w:t xml:space="preserve">Después de corroborar los criterios de inclusión se solicitó el consentimiento de participación de forma libre e informada. Se firmó un modelo de consentimiento donde se les aseguró la confidencialidad y el anonimato. Se confeccionó una base de datos en el programa Microsoft Office Excel 2007, donde se contabilizaron todas las variables descritas anteriormente. Se utilizó el paquete SPSS, versión 11.5. </w:t>
      </w:r>
    </w:p>
    <w:p w:rsidR="00457005" w:rsidRDefault="00457005" w:rsidP="00457005">
      <w:pPr>
        <w:pStyle w:val="NormalWeb"/>
      </w:pPr>
      <w:r>
        <w:t xml:space="preserve">  </w:t>
      </w:r>
    </w:p>
    <w:p w:rsidR="00457005" w:rsidRDefault="00457005" w:rsidP="00457005">
      <w:pPr>
        <w:pStyle w:val="NormalWeb"/>
      </w:pPr>
      <w:r>
        <w:rPr>
          <w:rFonts w:ascii="Verdana" w:hAnsi="Verdana"/>
          <w:b/>
          <w:bCs/>
        </w:rPr>
        <w:t>RESULTADOS</w:t>
      </w:r>
      <w:r>
        <w:rPr>
          <w:rFonts w:ascii="Verdana" w:hAnsi="Verdana"/>
          <w:sz w:val="20"/>
          <w:szCs w:val="20"/>
        </w:rPr>
        <w:t xml:space="preserve"> </w:t>
      </w:r>
    </w:p>
    <w:p w:rsidR="00457005" w:rsidRDefault="00457005" w:rsidP="00457005">
      <w:pPr>
        <w:pStyle w:val="NormalWeb"/>
      </w:pPr>
      <w:r>
        <w:rPr>
          <w:rFonts w:ascii="Verdana" w:hAnsi="Verdana"/>
          <w:sz w:val="20"/>
          <w:szCs w:val="20"/>
        </w:rPr>
        <w:t xml:space="preserve">En la casuística estudiada predominó del sexo femenino (81,0 %). La mayoría de los casos fueron tratados después de los dos años de evolución de la retracción palpebral en el curso de la OT. En la </w:t>
      </w:r>
      <w:hyperlink r:id="rId8" w:anchor="t1" w:history="1">
        <w:r>
          <w:rPr>
            <w:rStyle w:val="Hyperlink"/>
            <w:rFonts w:ascii="Verdana" w:hAnsi="Verdana"/>
            <w:sz w:val="20"/>
            <w:szCs w:val="20"/>
          </w:rPr>
          <w:t>tabla 1</w:t>
        </w:r>
      </w:hyperlink>
      <w:r>
        <w:rPr>
          <w:rFonts w:ascii="Verdana" w:hAnsi="Verdana"/>
          <w:sz w:val="20"/>
          <w:szCs w:val="20"/>
        </w:rPr>
        <w:t xml:space="preserve">, se evidencia la disminución significativa de los mm de retracción en ambos ojos, después de la inyección del medicamento en el RS, y en la </w:t>
      </w:r>
      <w:hyperlink r:id="rId9" w:anchor="t2" w:history="1">
        <w:r>
          <w:rPr>
            <w:rStyle w:val="Hyperlink"/>
            <w:rFonts w:ascii="Verdana" w:hAnsi="Verdana"/>
            <w:sz w:val="20"/>
            <w:szCs w:val="20"/>
          </w:rPr>
          <w:t>tabla 2</w:t>
        </w:r>
      </w:hyperlink>
      <w:r>
        <w:rPr>
          <w:rFonts w:ascii="Verdana" w:hAnsi="Verdana"/>
          <w:sz w:val="20"/>
          <w:szCs w:val="20"/>
        </w:rPr>
        <w:t xml:space="preserve"> el porcentaje de resultados terapéuticos satisfactorios (66,7 %). </w:t>
      </w:r>
    </w:p>
    <w:p w:rsidR="00457005" w:rsidRDefault="00457005" w:rsidP="00457005">
      <w:pPr>
        <w:pStyle w:val="NormalWeb"/>
        <w:jc w:val="center"/>
      </w:pPr>
      <w:r>
        <w:rPr>
          <w:noProof/>
        </w:rPr>
        <w:lastRenderedPageBreak/>
        <w:drawing>
          <wp:inline distT="0" distB="0" distL="0" distR="0">
            <wp:extent cx="4333875" cy="4953000"/>
            <wp:effectExtent l="0" t="0" r="9525" b="0"/>
            <wp:docPr id="12" name="Picture 12" descr="http://www.revoftalmologia.sld.cu/index.php/oftalmologia/article/viewFile/478/html_285/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voftalmologia.sld.cu/index.php/oftalmologia/article/viewFile/478/html_285/44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4953000"/>
                    </a:xfrm>
                    <a:prstGeom prst="rect">
                      <a:avLst/>
                    </a:prstGeom>
                    <a:noFill/>
                    <a:ln>
                      <a:noFill/>
                    </a:ln>
                  </pic:spPr>
                </pic:pic>
              </a:graphicData>
            </a:graphic>
          </wp:inline>
        </w:drawing>
      </w:r>
      <w:bookmarkStart w:id="1" w:name="t1"/>
      <w:bookmarkEnd w:id="1"/>
    </w:p>
    <w:p w:rsidR="00457005" w:rsidRDefault="00457005" w:rsidP="00457005">
      <w:pPr>
        <w:pStyle w:val="NormalWeb"/>
        <w:jc w:val="center"/>
      </w:pPr>
      <w:r>
        <w:rPr>
          <w:noProof/>
        </w:rPr>
        <w:drawing>
          <wp:inline distT="0" distB="0" distL="0" distR="0">
            <wp:extent cx="3810000" cy="1314450"/>
            <wp:effectExtent l="0" t="0" r="0" b="0"/>
            <wp:docPr id="11" name="Picture 11" descr="http://www.revoftalmologia.sld.cu/index.php/oftalmologia/article/viewFile/478/html_285/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voftalmologia.sld.cu/index.php/oftalmologia/article/viewFile/478/html_285/44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314450"/>
                    </a:xfrm>
                    <a:prstGeom prst="rect">
                      <a:avLst/>
                    </a:prstGeom>
                    <a:noFill/>
                    <a:ln>
                      <a:noFill/>
                    </a:ln>
                  </pic:spPr>
                </pic:pic>
              </a:graphicData>
            </a:graphic>
          </wp:inline>
        </w:drawing>
      </w:r>
      <w:bookmarkStart w:id="2" w:name="t2"/>
      <w:bookmarkEnd w:id="2"/>
    </w:p>
    <w:p w:rsidR="00457005" w:rsidRDefault="00457005" w:rsidP="00457005">
      <w:pPr>
        <w:pStyle w:val="NormalWeb"/>
      </w:pPr>
      <w:r>
        <w:rPr>
          <w:rFonts w:ascii="Verdana" w:hAnsi="Verdana"/>
          <w:sz w:val="20"/>
          <w:szCs w:val="20"/>
        </w:rPr>
        <w:t xml:space="preserve">La hipercorrección se observó en un caso con retracción moderada, por lo que esta temida complicación se presentó en un bajo porcentaje de la casuística estudiada (4,76 %). La </w:t>
      </w:r>
      <w:hyperlink r:id="rId12" w:anchor="figura" w:history="1">
        <w:r>
          <w:rPr>
            <w:rStyle w:val="Hyperlink"/>
            <w:rFonts w:ascii="Verdana" w:hAnsi="Verdana"/>
            <w:sz w:val="20"/>
            <w:szCs w:val="20"/>
          </w:rPr>
          <w:t>figura</w:t>
        </w:r>
      </w:hyperlink>
      <w:r>
        <w:rPr>
          <w:rFonts w:ascii="Verdana" w:hAnsi="Verdana"/>
          <w:sz w:val="20"/>
          <w:szCs w:val="20"/>
        </w:rPr>
        <w:t xml:space="preserve"> muestra a una paciente antes y después de la corrección de la retracción palpebral moderada con TBA en el músculo RS de ambos ojos. </w:t>
      </w:r>
    </w:p>
    <w:p w:rsidR="00457005" w:rsidRDefault="00457005" w:rsidP="00457005">
      <w:pPr>
        <w:pStyle w:val="NormalWeb"/>
        <w:jc w:val="center"/>
      </w:pPr>
      <w:r>
        <w:rPr>
          <w:noProof/>
        </w:rPr>
        <w:lastRenderedPageBreak/>
        <w:drawing>
          <wp:inline distT="0" distB="0" distL="0" distR="0">
            <wp:extent cx="5324475" cy="2057400"/>
            <wp:effectExtent l="0" t="0" r="9525" b="0"/>
            <wp:docPr id="10" name="Picture 10" descr="http://www.revoftalmologia.sld.cu/index.php/oftalmologia/article/viewFile/478/html_285/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voftalmologia.sld.cu/index.php/oftalmologia/article/viewFile/478/html_285/44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4475" cy="2057400"/>
                    </a:xfrm>
                    <a:prstGeom prst="rect">
                      <a:avLst/>
                    </a:prstGeom>
                    <a:noFill/>
                    <a:ln>
                      <a:noFill/>
                    </a:ln>
                  </pic:spPr>
                </pic:pic>
              </a:graphicData>
            </a:graphic>
          </wp:inline>
        </w:drawing>
      </w:r>
      <w:bookmarkStart w:id="3" w:name="figura"/>
      <w:bookmarkEnd w:id="3"/>
    </w:p>
    <w:p w:rsidR="00457005" w:rsidRDefault="00457005" w:rsidP="00457005">
      <w:pPr>
        <w:pStyle w:val="NormalWeb"/>
      </w:pPr>
      <w:r>
        <w:rPr>
          <w:rFonts w:ascii="Verdana" w:hAnsi="Verdana"/>
          <w:sz w:val="20"/>
          <w:szCs w:val="20"/>
        </w:rPr>
        <w:t xml:space="preserve">FACTORES ASOCIADOS </w:t>
      </w:r>
    </w:p>
    <w:p w:rsidR="00457005" w:rsidRDefault="00457005" w:rsidP="00457005">
      <w:pPr>
        <w:pStyle w:val="NormalWeb"/>
      </w:pPr>
      <w:r>
        <w:rPr>
          <w:rFonts w:ascii="Verdana" w:hAnsi="Verdana"/>
          <w:sz w:val="20"/>
          <w:szCs w:val="20"/>
        </w:rPr>
        <w:t xml:space="preserve">La </w:t>
      </w:r>
      <w:hyperlink r:id="rId14" w:anchor="t3" w:history="1">
        <w:r>
          <w:rPr>
            <w:rStyle w:val="Hyperlink"/>
            <w:rFonts w:ascii="Verdana" w:hAnsi="Verdana"/>
            <w:sz w:val="20"/>
            <w:szCs w:val="20"/>
          </w:rPr>
          <w:t>tabla 3</w:t>
        </w:r>
      </w:hyperlink>
      <w:r>
        <w:rPr>
          <w:rFonts w:ascii="Verdana" w:hAnsi="Verdana"/>
          <w:sz w:val="20"/>
          <w:szCs w:val="20"/>
        </w:rPr>
        <w:t xml:space="preserve"> muestra la asociación entre la edad y los resultados terapéuticos. Se obtuvieron resultados satisfactorios en 14 pacientes con un promedio de edad de 47,50 y no satisfactorios en los 7 casos con una media de 61,57 años (</w:t>
      </w:r>
      <w:r>
        <w:rPr>
          <w:rFonts w:ascii="Verdana" w:hAnsi="Verdana"/>
          <w:i/>
          <w:iCs/>
          <w:sz w:val="20"/>
          <w:szCs w:val="20"/>
        </w:rPr>
        <w:t>p=</w:t>
      </w:r>
      <w:r>
        <w:rPr>
          <w:rFonts w:ascii="Verdana" w:hAnsi="Verdana"/>
          <w:sz w:val="20"/>
          <w:szCs w:val="20"/>
        </w:rPr>
        <w:t xml:space="preserve"> 0,013). No hubo diferencias significativas en cuanto al tiempo de evolución, pero la mayoría fueron tratados después del primer año de la afección. </w:t>
      </w:r>
    </w:p>
    <w:p w:rsidR="00457005" w:rsidRDefault="00457005" w:rsidP="00457005">
      <w:pPr>
        <w:pStyle w:val="NormalWeb"/>
        <w:jc w:val="center"/>
      </w:pPr>
      <w:r>
        <w:rPr>
          <w:noProof/>
        </w:rPr>
        <w:drawing>
          <wp:inline distT="0" distB="0" distL="0" distR="0">
            <wp:extent cx="5410200" cy="2228850"/>
            <wp:effectExtent l="0" t="0" r="0" b="0"/>
            <wp:docPr id="13" name="Picture 13" descr="http://www.revoftalmologia.sld.cu/index.php/oftalmologia/article/viewFile/478/html_285/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evoftalmologia.sld.cu/index.php/oftalmologia/article/viewFile/478/html_285/44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200" cy="2228850"/>
                    </a:xfrm>
                    <a:prstGeom prst="rect">
                      <a:avLst/>
                    </a:prstGeom>
                    <a:noFill/>
                    <a:ln>
                      <a:noFill/>
                    </a:ln>
                  </pic:spPr>
                </pic:pic>
              </a:graphicData>
            </a:graphic>
          </wp:inline>
        </w:drawing>
      </w:r>
      <w:bookmarkStart w:id="4" w:name="t3"/>
      <w:bookmarkEnd w:id="4"/>
    </w:p>
    <w:p w:rsidR="00457005" w:rsidRDefault="00457005" w:rsidP="00457005">
      <w:pPr>
        <w:pStyle w:val="NormalWeb"/>
      </w:pPr>
      <w:r>
        <w:rPr>
          <w:rFonts w:ascii="Verdana" w:hAnsi="Verdana"/>
          <w:sz w:val="20"/>
          <w:szCs w:val="20"/>
        </w:rPr>
        <w:t xml:space="preserve">En la </w:t>
      </w:r>
      <w:hyperlink r:id="rId16" w:anchor="t4" w:history="1">
        <w:r>
          <w:rPr>
            <w:rStyle w:val="Hyperlink"/>
            <w:rFonts w:ascii="Verdana" w:hAnsi="Verdana"/>
            <w:sz w:val="20"/>
            <w:szCs w:val="20"/>
          </w:rPr>
          <w:t>tabla 4</w:t>
        </w:r>
      </w:hyperlink>
      <w:r>
        <w:rPr>
          <w:rFonts w:ascii="Verdana" w:hAnsi="Verdana"/>
          <w:sz w:val="20"/>
          <w:szCs w:val="20"/>
        </w:rPr>
        <w:t xml:space="preserve"> se evidencia que los resultados terapéuticos fueron satisfactorios en el 100 % de los casos con retracción moderada en el ojo derecho, por lo que la gravedad influyó negativamente sobre estos (</w:t>
      </w:r>
      <w:r>
        <w:rPr>
          <w:rFonts w:ascii="Verdana" w:hAnsi="Verdana"/>
          <w:i/>
          <w:iCs/>
          <w:sz w:val="20"/>
          <w:szCs w:val="20"/>
        </w:rPr>
        <w:t>p=</w:t>
      </w:r>
      <w:r>
        <w:rPr>
          <w:rFonts w:ascii="Verdana" w:hAnsi="Verdana"/>
          <w:sz w:val="20"/>
          <w:szCs w:val="20"/>
        </w:rPr>
        <w:t xml:space="preserve"> 0,015). En el análisis del OI (</w:t>
      </w:r>
      <w:hyperlink r:id="rId17" w:anchor="t5" w:history="1">
        <w:r>
          <w:rPr>
            <w:rStyle w:val="Hyperlink"/>
            <w:rFonts w:ascii="Verdana" w:hAnsi="Verdana"/>
            <w:sz w:val="20"/>
            <w:szCs w:val="20"/>
          </w:rPr>
          <w:t>tabla 5</w:t>
        </w:r>
      </w:hyperlink>
      <w:r>
        <w:rPr>
          <w:rFonts w:ascii="Verdana" w:hAnsi="Verdana"/>
          <w:sz w:val="20"/>
          <w:szCs w:val="20"/>
        </w:rPr>
        <w:t>) no hubo una diferencia significativa (</w:t>
      </w:r>
      <w:r>
        <w:rPr>
          <w:rFonts w:ascii="Verdana" w:hAnsi="Verdana"/>
          <w:i/>
          <w:iCs/>
          <w:sz w:val="20"/>
          <w:szCs w:val="20"/>
        </w:rPr>
        <w:t>p=</w:t>
      </w:r>
      <w:r>
        <w:rPr>
          <w:rFonts w:ascii="Verdana" w:hAnsi="Verdana"/>
          <w:sz w:val="20"/>
          <w:szCs w:val="20"/>
        </w:rPr>
        <w:t xml:space="preserve"> 0,094), pero los resultados fueron satisfactorios en el 87,5 % de ojos con retracción moderada. Se observa un leve predominio de la retracción grave. La hipercorrección se observó en una paciente, en la cual el párpado descendió 2 mm por debajo del nivel fisiológico. </w:t>
      </w:r>
    </w:p>
    <w:p w:rsidR="00457005" w:rsidRDefault="00457005" w:rsidP="00457005">
      <w:pPr>
        <w:pStyle w:val="NormalWeb"/>
        <w:jc w:val="center"/>
      </w:pPr>
      <w:r>
        <w:rPr>
          <w:noProof/>
        </w:rPr>
        <w:lastRenderedPageBreak/>
        <w:drawing>
          <wp:inline distT="0" distB="0" distL="0" distR="0">
            <wp:extent cx="4162425" cy="2600325"/>
            <wp:effectExtent l="0" t="0" r="9525" b="9525"/>
            <wp:docPr id="14" name="Picture 14" descr="http://www.revoftalmologia.sld.cu/index.php/oftalmologia/article/viewFile/478/html_285/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evoftalmologia.sld.cu/index.php/oftalmologia/article/viewFile/478/html_285/44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62425" cy="2600325"/>
                    </a:xfrm>
                    <a:prstGeom prst="rect">
                      <a:avLst/>
                    </a:prstGeom>
                    <a:noFill/>
                    <a:ln>
                      <a:noFill/>
                    </a:ln>
                  </pic:spPr>
                </pic:pic>
              </a:graphicData>
            </a:graphic>
          </wp:inline>
        </w:drawing>
      </w:r>
    </w:p>
    <w:p w:rsidR="00457005" w:rsidRDefault="00457005" w:rsidP="00457005">
      <w:pPr>
        <w:pStyle w:val="NormalWeb"/>
      </w:pPr>
    </w:p>
    <w:p w:rsidR="0024367D" w:rsidRDefault="00457005" w:rsidP="00457005">
      <w:pPr>
        <w:spacing w:before="100" w:beforeAutospacing="1" w:after="100" w:afterAutospacing="1" w:line="240" w:lineRule="auto"/>
      </w:pPr>
      <w:r>
        <w:rPr>
          <w:noProof/>
          <w:lang w:eastAsia="es-E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905375" cy="2419350"/>
            <wp:effectExtent l="0" t="0" r="9525" b="0"/>
            <wp:wrapSquare wrapText="bothSides"/>
            <wp:docPr id="15" name="Picture 15" descr="http://www.revoftalmologia.sld.cu/index.php/oftalmologia/article/viewFile/478/html_285/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evoftalmologia.sld.cu/index.php/oftalmologia/article/viewFile/478/html_285/44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5375" cy="2419350"/>
                    </a:xfrm>
                    <a:prstGeom prst="rect">
                      <a:avLst/>
                    </a:prstGeom>
                    <a:noFill/>
                    <a:ln>
                      <a:noFill/>
                    </a:ln>
                  </pic:spPr>
                </pic:pic>
              </a:graphicData>
            </a:graphic>
          </wp:anchor>
        </w:drawing>
      </w:r>
      <w:r>
        <w:br w:type="textWrapping" w:clear="all"/>
      </w:r>
    </w:p>
    <w:p w:rsidR="00457005" w:rsidRDefault="00457005" w:rsidP="00457005">
      <w:pPr>
        <w:spacing w:before="100" w:beforeAutospacing="1" w:after="100" w:afterAutospacing="1" w:line="240" w:lineRule="auto"/>
      </w:pPr>
    </w:p>
    <w:p w:rsidR="00457005" w:rsidRDefault="00457005" w:rsidP="00457005">
      <w:pPr>
        <w:pStyle w:val="NormalWeb"/>
      </w:pPr>
      <w:r>
        <w:rPr>
          <w:rFonts w:ascii="Verdana" w:hAnsi="Verdana"/>
          <w:b/>
          <w:bCs/>
        </w:rPr>
        <w:t>DISCUSIÓN</w:t>
      </w:r>
      <w:r>
        <w:rPr>
          <w:rFonts w:ascii="Verdana" w:hAnsi="Verdana"/>
          <w:sz w:val="20"/>
          <w:szCs w:val="20"/>
        </w:rPr>
        <w:t xml:space="preserve"> </w:t>
      </w:r>
    </w:p>
    <w:p w:rsidR="00457005" w:rsidRDefault="00457005" w:rsidP="00457005">
      <w:pPr>
        <w:pStyle w:val="NormalWeb"/>
      </w:pPr>
      <w:r>
        <w:rPr>
          <w:rFonts w:ascii="Verdana" w:hAnsi="Verdana"/>
          <w:sz w:val="20"/>
          <w:szCs w:val="20"/>
        </w:rPr>
        <w:t>Esta investigación confirma lo planteado en otros estudios</w:t>
      </w:r>
      <w:r>
        <w:rPr>
          <w:rFonts w:ascii="Verdana" w:hAnsi="Verdana"/>
          <w:sz w:val="20"/>
          <w:szCs w:val="20"/>
          <w:vertAlign w:val="superscript"/>
        </w:rPr>
        <w:t>1-7</w:t>
      </w:r>
      <w:r>
        <w:rPr>
          <w:rFonts w:ascii="Verdana" w:hAnsi="Verdana"/>
          <w:sz w:val="20"/>
          <w:szCs w:val="20"/>
        </w:rPr>
        <w:t xml:space="preserve"> sobre los resultados satisfactorios que se han obtenido con la TBA para reducir el grado de retracción palpebral en pacientes con OT. Los resultados terapéuticos satisfactorios del presente estudio (66,7 %) son similares a los obtenidos por otros autores</w:t>
      </w:r>
      <w:r>
        <w:rPr>
          <w:rFonts w:ascii="Verdana" w:hAnsi="Verdana"/>
          <w:sz w:val="20"/>
          <w:szCs w:val="20"/>
          <w:vertAlign w:val="superscript"/>
        </w:rPr>
        <w:t>14-16</w:t>
      </w:r>
      <w:r>
        <w:rPr>
          <w:rFonts w:ascii="Verdana" w:hAnsi="Verdana"/>
          <w:sz w:val="20"/>
          <w:szCs w:val="20"/>
        </w:rPr>
        <w:t xml:space="preserve"> por la vía subcutánea y a los reportados por la autora</w:t>
      </w:r>
      <w:r>
        <w:rPr>
          <w:rFonts w:ascii="Verdana" w:hAnsi="Verdana"/>
          <w:sz w:val="20"/>
          <w:szCs w:val="20"/>
          <w:vertAlign w:val="superscript"/>
        </w:rPr>
        <w:t>12</w:t>
      </w:r>
      <w:r>
        <w:rPr>
          <w:rFonts w:ascii="Verdana" w:hAnsi="Verdana"/>
          <w:sz w:val="20"/>
          <w:szCs w:val="20"/>
        </w:rPr>
        <w:t xml:space="preserve"> en publicaciones anteriores; sin embargo, en la presente casuística fueron tratados solo los casos con retracción moderada y grave, los cuales constituyen fracasos terapéuticos en la mayoría de las series.</w:t>
      </w:r>
      <w:r>
        <w:rPr>
          <w:rFonts w:ascii="Verdana" w:hAnsi="Verdana"/>
          <w:sz w:val="20"/>
          <w:szCs w:val="20"/>
          <w:vertAlign w:val="superscript"/>
        </w:rPr>
        <w:t>12-17</w:t>
      </w:r>
      <w:r>
        <w:rPr>
          <w:rFonts w:ascii="Verdana" w:hAnsi="Verdana"/>
          <w:sz w:val="20"/>
          <w:szCs w:val="20"/>
        </w:rPr>
        <w:t xml:space="preserve"> </w:t>
      </w:r>
    </w:p>
    <w:p w:rsidR="00457005" w:rsidRDefault="00457005" w:rsidP="00457005">
      <w:pPr>
        <w:pStyle w:val="NormalWeb"/>
      </w:pPr>
      <w:r>
        <w:rPr>
          <w:rFonts w:ascii="Verdana" w:hAnsi="Verdana"/>
          <w:sz w:val="20"/>
          <w:szCs w:val="20"/>
        </w:rPr>
        <w:t>En el año 2010</w:t>
      </w:r>
      <w:r>
        <w:rPr>
          <w:rFonts w:ascii="Verdana" w:hAnsi="Verdana"/>
          <w:sz w:val="20"/>
          <w:szCs w:val="20"/>
          <w:vertAlign w:val="superscript"/>
        </w:rPr>
        <w:t>12</w:t>
      </w:r>
      <w:r>
        <w:rPr>
          <w:rFonts w:ascii="Verdana" w:hAnsi="Verdana"/>
          <w:sz w:val="20"/>
          <w:szCs w:val="20"/>
        </w:rPr>
        <w:t xml:space="preserve"> la autora sugirió la inyección previa de TBA en el músculo recto inferior afectado, antes de tratar la retracción palpebral grave del mismo ojo. En la presente investigación, el medicamento se inyecta directamente en el complejo recto superior-elevador del párpado superior para tratar la retracción palpebral superior moderada y grave, lo cual se basa en la </w:t>
      </w:r>
      <w:proofErr w:type="spellStart"/>
      <w:r>
        <w:rPr>
          <w:rFonts w:ascii="Verdana" w:hAnsi="Verdana"/>
          <w:sz w:val="20"/>
          <w:szCs w:val="20"/>
        </w:rPr>
        <w:t>fisiopatogenia</w:t>
      </w:r>
      <w:proofErr w:type="spellEnd"/>
      <w:r>
        <w:rPr>
          <w:rFonts w:ascii="Verdana" w:hAnsi="Verdana"/>
          <w:sz w:val="20"/>
          <w:szCs w:val="20"/>
        </w:rPr>
        <w:t xml:space="preserve"> de esta afección. En </w:t>
      </w:r>
      <w:r>
        <w:rPr>
          <w:rFonts w:ascii="Verdana" w:hAnsi="Verdana"/>
          <w:sz w:val="20"/>
          <w:szCs w:val="20"/>
        </w:rPr>
        <w:lastRenderedPageBreak/>
        <w:t>la literatura nacional e internacional no se han encontrado reportes sobre el uso terapéutico de la TBA en el músculo RS para la corrección de la retracción; sin embargo, según plantea la literatura internacional</w:t>
      </w:r>
      <w:proofErr w:type="gramStart"/>
      <w:r>
        <w:rPr>
          <w:rFonts w:ascii="Verdana" w:hAnsi="Verdana"/>
          <w:sz w:val="20"/>
          <w:szCs w:val="20"/>
        </w:rPr>
        <w:t>,</w:t>
      </w:r>
      <w:r>
        <w:rPr>
          <w:rFonts w:ascii="Verdana" w:hAnsi="Verdana"/>
          <w:sz w:val="20"/>
          <w:szCs w:val="20"/>
          <w:vertAlign w:val="superscript"/>
        </w:rPr>
        <w:t>15</w:t>
      </w:r>
      <w:proofErr w:type="gramEnd"/>
      <w:r>
        <w:rPr>
          <w:rFonts w:ascii="Verdana" w:hAnsi="Verdana"/>
          <w:sz w:val="20"/>
          <w:szCs w:val="20"/>
          <w:vertAlign w:val="superscript"/>
        </w:rPr>
        <w:t>-19</w:t>
      </w:r>
      <w:r>
        <w:rPr>
          <w:rFonts w:ascii="Verdana" w:hAnsi="Verdana"/>
          <w:sz w:val="20"/>
          <w:szCs w:val="20"/>
        </w:rPr>
        <w:t xml:space="preserve"> la </w:t>
      </w:r>
      <w:proofErr w:type="spellStart"/>
      <w:r>
        <w:rPr>
          <w:rFonts w:ascii="Verdana" w:hAnsi="Verdana"/>
          <w:sz w:val="20"/>
          <w:szCs w:val="20"/>
        </w:rPr>
        <w:t>fisiopatogenia</w:t>
      </w:r>
      <w:proofErr w:type="spellEnd"/>
      <w:r>
        <w:rPr>
          <w:rFonts w:ascii="Verdana" w:hAnsi="Verdana"/>
          <w:sz w:val="20"/>
          <w:szCs w:val="20"/>
        </w:rPr>
        <w:t xml:space="preserve"> de la retracción palpebral moderada y grave radica precisamente en la contractura de este músculo. </w:t>
      </w:r>
    </w:p>
    <w:p w:rsidR="00457005" w:rsidRDefault="00457005" w:rsidP="00457005">
      <w:pPr>
        <w:pStyle w:val="NormalWeb"/>
      </w:pPr>
      <w:r>
        <w:rPr>
          <w:rFonts w:ascii="Verdana" w:hAnsi="Verdana"/>
          <w:sz w:val="20"/>
          <w:szCs w:val="20"/>
        </w:rPr>
        <w:t>La mayoría de los autores</w:t>
      </w:r>
      <w:r>
        <w:rPr>
          <w:rFonts w:ascii="Verdana" w:hAnsi="Verdana"/>
          <w:sz w:val="20"/>
          <w:szCs w:val="20"/>
          <w:vertAlign w:val="superscript"/>
        </w:rPr>
        <w:t>15-19</w:t>
      </w:r>
      <w:r>
        <w:rPr>
          <w:rFonts w:ascii="Verdana" w:hAnsi="Verdana"/>
          <w:sz w:val="20"/>
          <w:szCs w:val="20"/>
        </w:rPr>
        <w:t xml:space="preserve"> consideran que la gravedad de la retracción es un factor que interfiere con los resultados del tratamiento, lo que coincide con los de esta investigación. En las publicaciones revisadas</w:t>
      </w:r>
      <w:proofErr w:type="gramStart"/>
      <w:r>
        <w:rPr>
          <w:rFonts w:ascii="Verdana" w:hAnsi="Verdana"/>
          <w:sz w:val="20"/>
          <w:szCs w:val="20"/>
        </w:rPr>
        <w:t>,</w:t>
      </w:r>
      <w:r>
        <w:rPr>
          <w:rFonts w:ascii="Verdana" w:hAnsi="Verdana"/>
          <w:sz w:val="20"/>
          <w:szCs w:val="20"/>
          <w:vertAlign w:val="superscript"/>
        </w:rPr>
        <w:t>1</w:t>
      </w:r>
      <w:proofErr w:type="gramEnd"/>
      <w:r>
        <w:rPr>
          <w:rFonts w:ascii="Verdana" w:hAnsi="Verdana"/>
          <w:sz w:val="20"/>
          <w:szCs w:val="20"/>
          <w:vertAlign w:val="superscript"/>
        </w:rPr>
        <w:t>-19</w:t>
      </w:r>
      <w:r>
        <w:rPr>
          <w:rFonts w:ascii="Verdana" w:hAnsi="Verdana"/>
          <w:sz w:val="20"/>
          <w:szCs w:val="20"/>
        </w:rPr>
        <w:t xml:space="preserve"> no se ha identificado a la edad como un factor asociado a estos; sin embargo, en este estudio se obtuvieron mejores resultados en los pacientes menores de 50 años. Se concluye que la inyección de TBA en el músculo recto superior es efectiva en la mayoría de los casos tratados, sobre todo en adultos jóvenes y con menor gravedad clínica de la retracción. La hipercorrección es la complicación más temida de este procedimiento. </w:t>
      </w:r>
    </w:p>
    <w:p w:rsidR="00457005" w:rsidRDefault="00457005" w:rsidP="00457005">
      <w:pPr>
        <w:pStyle w:val="NormalWeb"/>
      </w:pPr>
      <w:r>
        <w:t> </w:t>
      </w:r>
    </w:p>
    <w:p w:rsidR="00457005" w:rsidRDefault="00457005" w:rsidP="00457005">
      <w:pPr>
        <w:pStyle w:val="NormalWeb"/>
      </w:pPr>
      <w:r>
        <w:rPr>
          <w:rFonts w:ascii="Verdana" w:hAnsi="Verdana"/>
          <w:b/>
          <w:bCs/>
          <w:sz w:val="20"/>
          <w:szCs w:val="20"/>
        </w:rPr>
        <w:t>Conflicto de intereses</w:t>
      </w:r>
      <w:r>
        <w:rPr>
          <w:rFonts w:ascii="Verdana" w:hAnsi="Verdana"/>
          <w:sz w:val="20"/>
          <w:szCs w:val="20"/>
        </w:rPr>
        <w:t xml:space="preserve"> </w:t>
      </w:r>
    </w:p>
    <w:p w:rsidR="00457005" w:rsidRDefault="00457005" w:rsidP="00457005">
      <w:pPr>
        <w:pStyle w:val="NormalWeb"/>
      </w:pPr>
      <w:r>
        <w:rPr>
          <w:rFonts w:ascii="Verdana" w:hAnsi="Verdana"/>
          <w:sz w:val="20"/>
          <w:szCs w:val="20"/>
        </w:rPr>
        <w:t xml:space="preserve">Las autoras declaran que no existe conflicto de intereses en el presente artículo. </w:t>
      </w:r>
    </w:p>
    <w:p w:rsidR="00457005" w:rsidRDefault="00457005" w:rsidP="00457005">
      <w:pPr>
        <w:pStyle w:val="NormalWeb"/>
      </w:pPr>
      <w:r>
        <w:t> </w:t>
      </w:r>
    </w:p>
    <w:p w:rsidR="00457005" w:rsidRDefault="00457005" w:rsidP="00457005">
      <w:pPr>
        <w:pStyle w:val="NormalWeb"/>
      </w:pPr>
      <w:r>
        <w:rPr>
          <w:rFonts w:ascii="Verdana" w:hAnsi="Verdana"/>
          <w:b/>
          <w:bCs/>
        </w:rPr>
        <w:t>REFERENCIAS BIBLIOGRÁFICAS</w:t>
      </w:r>
      <w:r>
        <w:rPr>
          <w:rFonts w:ascii="Verdana" w:hAnsi="Verdana"/>
          <w:sz w:val="20"/>
          <w:szCs w:val="20"/>
        </w:rPr>
        <w:t xml:space="preserve"> </w:t>
      </w:r>
    </w:p>
    <w:p w:rsidR="00457005" w:rsidRDefault="00457005" w:rsidP="00457005">
      <w:pPr>
        <w:pStyle w:val="NormalWeb"/>
      </w:pPr>
      <w:r>
        <w:rPr>
          <w:rFonts w:ascii="Verdana" w:hAnsi="Verdana"/>
          <w:sz w:val="20"/>
          <w:szCs w:val="20"/>
        </w:rPr>
        <w:t xml:space="preserve">1. Pérez Moreira JV, Prada Sánchez MC, Coloma </w:t>
      </w:r>
      <w:proofErr w:type="spellStart"/>
      <w:r>
        <w:rPr>
          <w:rFonts w:ascii="Verdana" w:hAnsi="Verdana"/>
          <w:sz w:val="20"/>
          <w:szCs w:val="20"/>
        </w:rPr>
        <w:t>Bockos</w:t>
      </w:r>
      <w:proofErr w:type="spellEnd"/>
      <w:r>
        <w:rPr>
          <w:rFonts w:ascii="Verdana" w:hAnsi="Verdana"/>
          <w:sz w:val="20"/>
          <w:szCs w:val="20"/>
        </w:rPr>
        <w:t xml:space="preserve"> J. </w:t>
      </w:r>
      <w:proofErr w:type="spellStart"/>
      <w:r>
        <w:rPr>
          <w:rFonts w:ascii="Verdana" w:hAnsi="Verdana"/>
          <w:sz w:val="20"/>
          <w:szCs w:val="20"/>
        </w:rPr>
        <w:t>Oftalmopatía</w:t>
      </w:r>
      <w:proofErr w:type="spellEnd"/>
      <w:r>
        <w:rPr>
          <w:rFonts w:ascii="Verdana" w:hAnsi="Verdana"/>
          <w:sz w:val="20"/>
          <w:szCs w:val="20"/>
        </w:rPr>
        <w:t xml:space="preserve"> </w:t>
      </w:r>
      <w:proofErr w:type="spellStart"/>
      <w:r>
        <w:rPr>
          <w:rFonts w:ascii="Verdana" w:hAnsi="Verdana"/>
          <w:sz w:val="20"/>
          <w:szCs w:val="20"/>
        </w:rPr>
        <w:t>distiroidea</w:t>
      </w:r>
      <w:proofErr w:type="spellEnd"/>
      <w:r>
        <w:rPr>
          <w:rFonts w:ascii="Verdana" w:hAnsi="Verdana"/>
          <w:sz w:val="20"/>
          <w:szCs w:val="20"/>
        </w:rPr>
        <w:t xml:space="preserve">. En: Pérez Moreira JV, Prada Sánchez MC. Patología Orbitaria; 2002. p. 949-1033. </w:t>
      </w:r>
    </w:p>
    <w:p w:rsidR="00457005" w:rsidRDefault="00457005" w:rsidP="00457005">
      <w:pPr>
        <w:pStyle w:val="NormalWeb"/>
        <w:rPr>
          <w:rFonts w:ascii="Verdana" w:hAnsi="Verdana"/>
          <w:sz w:val="20"/>
          <w:szCs w:val="20"/>
        </w:rPr>
      </w:pPr>
      <w:r w:rsidRPr="00457005">
        <w:rPr>
          <w:rFonts w:ascii="Verdana" w:hAnsi="Verdana"/>
          <w:sz w:val="20"/>
          <w:szCs w:val="20"/>
          <w:lang w:val="en-US"/>
        </w:rPr>
        <w:t xml:space="preserve">. Tucker S, Tucker N, </w:t>
      </w:r>
      <w:proofErr w:type="spellStart"/>
      <w:r w:rsidRPr="00457005">
        <w:rPr>
          <w:rFonts w:ascii="Verdana" w:hAnsi="Verdana"/>
          <w:sz w:val="20"/>
          <w:szCs w:val="20"/>
          <w:lang w:val="en-US"/>
        </w:rPr>
        <w:t>Linberg</w:t>
      </w:r>
      <w:proofErr w:type="spellEnd"/>
      <w:r w:rsidRPr="00457005">
        <w:rPr>
          <w:rFonts w:ascii="Verdana" w:hAnsi="Verdana"/>
          <w:sz w:val="20"/>
          <w:szCs w:val="20"/>
          <w:lang w:val="en-US"/>
        </w:rPr>
        <w:t xml:space="preserve"> JV. </w:t>
      </w:r>
      <w:proofErr w:type="gramStart"/>
      <w:r w:rsidRPr="00457005">
        <w:rPr>
          <w:rFonts w:ascii="Verdana" w:hAnsi="Verdana"/>
          <w:sz w:val="20"/>
          <w:szCs w:val="20"/>
          <w:lang w:val="en-US"/>
        </w:rPr>
        <w:t>Thyroid eye diseases.</w:t>
      </w:r>
      <w:proofErr w:type="gramEnd"/>
      <w:r w:rsidRPr="00457005">
        <w:rPr>
          <w:rFonts w:ascii="Verdana" w:hAnsi="Verdana"/>
          <w:sz w:val="20"/>
          <w:szCs w:val="20"/>
          <w:lang w:val="en-US"/>
        </w:rPr>
        <w:t xml:space="preserve"> Philadelphia: Duane's Ophthalmology. </w:t>
      </w:r>
      <w:proofErr w:type="gramStart"/>
      <w:r w:rsidRPr="00457005">
        <w:rPr>
          <w:rFonts w:ascii="Verdana" w:hAnsi="Verdana"/>
          <w:sz w:val="20"/>
          <w:szCs w:val="20"/>
          <w:lang w:val="en-US"/>
        </w:rPr>
        <w:t>Duane's Clinical Ophthalmology.</w:t>
      </w:r>
      <w:proofErr w:type="gramEnd"/>
      <w:r w:rsidRPr="00457005">
        <w:rPr>
          <w:rFonts w:ascii="Verdana" w:hAnsi="Verdana"/>
          <w:sz w:val="20"/>
          <w:szCs w:val="20"/>
          <w:lang w:val="en-US"/>
        </w:rPr>
        <w:t xml:space="preserve"> </w:t>
      </w:r>
      <w:proofErr w:type="gramStart"/>
      <w:r w:rsidRPr="00457005">
        <w:rPr>
          <w:rFonts w:ascii="Verdana" w:hAnsi="Verdana"/>
          <w:sz w:val="20"/>
          <w:szCs w:val="20"/>
          <w:lang w:val="en-US"/>
        </w:rPr>
        <w:t>Lippincott CD-ROM Edition; 2005.</w:t>
      </w:r>
      <w:proofErr w:type="gramEnd"/>
      <w:r w:rsidRPr="00457005">
        <w:rPr>
          <w:rFonts w:ascii="Verdana" w:hAnsi="Verdana"/>
          <w:sz w:val="20"/>
          <w:szCs w:val="20"/>
          <w:lang w:val="en-US"/>
        </w:rPr>
        <w:t xml:space="preserve"> </w:t>
      </w:r>
      <w:r w:rsidRPr="00457005">
        <w:rPr>
          <w:rFonts w:ascii="Verdana" w:hAnsi="Verdana"/>
          <w:sz w:val="20"/>
          <w:szCs w:val="20"/>
          <w:lang w:val="en-US"/>
        </w:rPr>
        <w:br/>
      </w:r>
      <w:r w:rsidRPr="00457005">
        <w:rPr>
          <w:rFonts w:ascii="Verdana" w:hAnsi="Verdana"/>
          <w:sz w:val="20"/>
          <w:szCs w:val="20"/>
          <w:lang w:val="en-US"/>
        </w:rPr>
        <w:br/>
        <w:t xml:space="preserve">3. Chang EL, </w:t>
      </w:r>
      <w:proofErr w:type="spellStart"/>
      <w:r w:rsidRPr="00457005">
        <w:rPr>
          <w:rFonts w:ascii="Verdana" w:hAnsi="Verdana"/>
          <w:sz w:val="20"/>
          <w:szCs w:val="20"/>
          <w:lang w:val="en-US"/>
        </w:rPr>
        <w:t>Rubín</w:t>
      </w:r>
      <w:proofErr w:type="spellEnd"/>
      <w:r w:rsidRPr="00457005">
        <w:rPr>
          <w:rFonts w:ascii="Verdana" w:hAnsi="Verdana"/>
          <w:sz w:val="20"/>
          <w:szCs w:val="20"/>
          <w:lang w:val="en-US"/>
        </w:rPr>
        <w:t xml:space="preserve"> PA. </w:t>
      </w:r>
      <w:proofErr w:type="gramStart"/>
      <w:r w:rsidRPr="00457005">
        <w:rPr>
          <w:rFonts w:ascii="Verdana" w:hAnsi="Verdana"/>
          <w:sz w:val="20"/>
          <w:szCs w:val="20"/>
          <w:lang w:val="en-US"/>
        </w:rPr>
        <w:t>Upper and lower eyelid retraction.</w:t>
      </w:r>
      <w:proofErr w:type="gramEnd"/>
      <w:r w:rsidRPr="00457005">
        <w:rPr>
          <w:rFonts w:ascii="Verdana" w:hAnsi="Verdana"/>
          <w:sz w:val="20"/>
          <w:szCs w:val="20"/>
          <w:lang w:val="en-US"/>
        </w:rPr>
        <w:t xml:space="preserve"> </w:t>
      </w:r>
      <w:proofErr w:type="spellStart"/>
      <w:r w:rsidRPr="00457005">
        <w:rPr>
          <w:rFonts w:ascii="Verdana" w:hAnsi="Verdana"/>
          <w:sz w:val="20"/>
          <w:szCs w:val="20"/>
          <w:lang w:val="en-US"/>
        </w:rPr>
        <w:t>Int</w:t>
      </w:r>
      <w:proofErr w:type="spellEnd"/>
      <w:r w:rsidRPr="00457005">
        <w:rPr>
          <w:rFonts w:ascii="Verdana" w:hAnsi="Verdana"/>
          <w:sz w:val="20"/>
          <w:szCs w:val="20"/>
          <w:lang w:val="en-US"/>
        </w:rPr>
        <w:t xml:space="preserve"> </w:t>
      </w:r>
      <w:proofErr w:type="spellStart"/>
      <w:r w:rsidRPr="00457005">
        <w:rPr>
          <w:rFonts w:ascii="Verdana" w:hAnsi="Verdana"/>
          <w:sz w:val="20"/>
          <w:szCs w:val="20"/>
          <w:lang w:val="en-US"/>
        </w:rPr>
        <w:t>Ophthalmol</w:t>
      </w:r>
      <w:proofErr w:type="spellEnd"/>
      <w:r w:rsidRPr="00457005">
        <w:rPr>
          <w:rFonts w:ascii="Verdana" w:hAnsi="Verdana"/>
          <w:sz w:val="20"/>
          <w:szCs w:val="20"/>
          <w:lang w:val="en-US"/>
        </w:rPr>
        <w:t xml:space="preserve"> </w:t>
      </w:r>
      <w:proofErr w:type="spellStart"/>
      <w:r w:rsidRPr="00457005">
        <w:rPr>
          <w:rFonts w:ascii="Verdana" w:hAnsi="Verdana"/>
          <w:sz w:val="20"/>
          <w:szCs w:val="20"/>
          <w:lang w:val="en-US"/>
        </w:rPr>
        <w:t>Clin</w:t>
      </w:r>
      <w:proofErr w:type="spellEnd"/>
      <w:r w:rsidRPr="00457005">
        <w:rPr>
          <w:rFonts w:ascii="Verdana" w:hAnsi="Verdana"/>
          <w:sz w:val="20"/>
          <w:szCs w:val="20"/>
          <w:lang w:val="en-US"/>
        </w:rPr>
        <w:t>. 2002</w:t>
      </w:r>
      <w:proofErr w:type="gramStart"/>
      <w:r w:rsidRPr="00457005">
        <w:rPr>
          <w:rFonts w:ascii="Verdana" w:hAnsi="Verdana"/>
          <w:sz w:val="20"/>
          <w:szCs w:val="20"/>
          <w:lang w:val="en-US"/>
        </w:rPr>
        <w:t>;42</w:t>
      </w:r>
      <w:proofErr w:type="gramEnd"/>
      <w:r w:rsidRPr="00457005">
        <w:rPr>
          <w:rFonts w:ascii="Verdana" w:hAnsi="Verdana"/>
          <w:sz w:val="20"/>
          <w:szCs w:val="20"/>
          <w:lang w:val="en-US"/>
        </w:rPr>
        <w:t xml:space="preserve">(2):45-59. </w:t>
      </w:r>
      <w:r w:rsidRPr="00457005">
        <w:rPr>
          <w:rFonts w:ascii="Verdana" w:hAnsi="Verdana"/>
          <w:sz w:val="20"/>
          <w:szCs w:val="20"/>
          <w:lang w:val="en-US"/>
        </w:rPr>
        <w:br/>
      </w:r>
      <w:r w:rsidRPr="00457005">
        <w:rPr>
          <w:rFonts w:ascii="Verdana" w:hAnsi="Verdana"/>
          <w:sz w:val="20"/>
          <w:szCs w:val="20"/>
          <w:lang w:val="en-US"/>
        </w:rPr>
        <w:br/>
        <w:t xml:space="preserve">4. Scott AB, Rosenbaum A, Collins CC. Pharmacologic weakening of </w:t>
      </w:r>
      <w:proofErr w:type="spellStart"/>
      <w:r w:rsidRPr="00457005">
        <w:rPr>
          <w:rFonts w:ascii="Verdana" w:hAnsi="Verdana"/>
          <w:sz w:val="20"/>
          <w:szCs w:val="20"/>
          <w:lang w:val="en-US"/>
        </w:rPr>
        <w:t>extraocular</w:t>
      </w:r>
      <w:proofErr w:type="spellEnd"/>
      <w:r w:rsidRPr="00457005">
        <w:rPr>
          <w:rFonts w:ascii="Verdana" w:hAnsi="Verdana"/>
          <w:sz w:val="20"/>
          <w:szCs w:val="20"/>
          <w:lang w:val="en-US"/>
        </w:rPr>
        <w:t xml:space="preserve"> muscles. Invest </w:t>
      </w:r>
      <w:proofErr w:type="spellStart"/>
      <w:r w:rsidRPr="00457005">
        <w:rPr>
          <w:rFonts w:ascii="Verdana" w:hAnsi="Verdana"/>
          <w:sz w:val="20"/>
          <w:szCs w:val="20"/>
          <w:lang w:val="en-US"/>
        </w:rPr>
        <w:t>Ophthalmol</w:t>
      </w:r>
      <w:proofErr w:type="spellEnd"/>
      <w:r w:rsidRPr="00457005">
        <w:rPr>
          <w:rFonts w:ascii="Verdana" w:hAnsi="Verdana"/>
          <w:sz w:val="20"/>
          <w:szCs w:val="20"/>
          <w:lang w:val="en-US"/>
        </w:rPr>
        <w:t>. 1973</w:t>
      </w:r>
      <w:proofErr w:type="gramStart"/>
      <w:r w:rsidRPr="00457005">
        <w:rPr>
          <w:rFonts w:ascii="Verdana" w:hAnsi="Verdana"/>
          <w:sz w:val="20"/>
          <w:szCs w:val="20"/>
          <w:lang w:val="en-US"/>
        </w:rPr>
        <w:t>;12:924</w:t>
      </w:r>
      <w:proofErr w:type="gramEnd"/>
      <w:r w:rsidRPr="00457005">
        <w:rPr>
          <w:rFonts w:ascii="Verdana" w:hAnsi="Verdana"/>
          <w:sz w:val="20"/>
          <w:szCs w:val="20"/>
          <w:lang w:val="en-US"/>
        </w:rPr>
        <w:t xml:space="preserve">-7. </w:t>
      </w:r>
      <w:r w:rsidRPr="00457005">
        <w:rPr>
          <w:rFonts w:ascii="Verdana" w:hAnsi="Verdana"/>
          <w:sz w:val="20"/>
          <w:szCs w:val="20"/>
          <w:lang w:val="en-US"/>
        </w:rPr>
        <w:br/>
      </w:r>
      <w:r w:rsidRPr="00457005">
        <w:rPr>
          <w:rFonts w:ascii="Verdana" w:hAnsi="Verdana"/>
          <w:sz w:val="20"/>
          <w:szCs w:val="20"/>
          <w:lang w:val="en-US"/>
        </w:rPr>
        <w:br/>
        <w:t xml:space="preserve">5. </w:t>
      </w:r>
      <w:proofErr w:type="spellStart"/>
      <w:r w:rsidRPr="00457005">
        <w:rPr>
          <w:rFonts w:ascii="Verdana" w:hAnsi="Verdana"/>
          <w:sz w:val="20"/>
          <w:szCs w:val="20"/>
          <w:lang w:val="en-US"/>
        </w:rPr>
        <w:t>Ebner</w:t>
      </w:r>
      <w:proofErr w:type="spellEnd"/>
      <w:r w:rsidRPr="00457005">
        <w:rPr>
          <w:rFonts w:ascii="Verdana" w:hAnsi="Verdana"/>
          <w:sz w:val="20"/>
          <w:szCs w:val="20"/>
          <w:lang w:val="en-US"/>
        </w:rPr>
        <w:t xml:space="preserve"> R. </w:t>
      </w:r>
      <w:proofErr w:type="spellStart"/>
      <w:r w:rsidRPr="00457005">
        <w:rPr>
          <w:rFonts w:ascii="Verdana" w:hAnsi="Verdana"/>
          <w:sz w:val="20"/>
          <w:szCs w:val="20"/>
          <w:lang w:val="en-US"/>
        </w:rPr>
        <w:t>Botulinum</w:t>
      </w:r>
      <w:proofErr w:type="spellEnd"/>
      <w:r w:rsidRPr="00457005">
        <w:rPr>
          <w:rFonts w:ascii="Verdana" w:hAnsi="Verdana"/>
          <w:sz w:val="20"/>
          <w:szCs w:val="20"/>
          <w:lang w:val="en-US"/>
        </w:rPr>
        <w:t xml:space="preserve"> toxin type A in upper lid retraction of Graves' </w:t>
      </w:r>
      <w:proofErr w:type="spellStart"/>
      <w:r w:rsidRPr="00457005">
        <w:rPr>
          <w:rFonts w:ascii="Verdana" w:hAnsi="Verdana"/>
          <w:sz w:val="20"/>
          <w:szCs w:val="20"/>
          <w:lang w:val="en-US"/>
        </w:rPr>
        <w:t>ophthalmopathy</w:t>
      </w:r>
      <w:proofErr w:type="spellEnd"/>
      <w:r w:rsidRPr="00457005">
        <w:rPr>
          <w:rFonts w:ascii="Verdana" w:hAnsi="Verdana"/>
          <w:sz w:val="20"/>
          <w:szCs w:val="20"/>
          <w:lang w:val="en-US"/>
        </w:rPr>
        <w:t xml:space="preserve">. </w:t>
      </w:r>
      <w:proofErr w:type="gramStart"/>
      <w:r w:rsidRPr="00457005">
        <w:rPr>
          <w:rFonts w:ascii="Verdana" w:hAnsi="Verdana"/>
          <w:sz w:val="20"/>
          <w:szCs w:val="20"/>
          <w:lang w:val="en-US"/>
        </w:rPr>
        <w:t xml:space="preserve">J </w:t>
      </w:r>
      <w:proofErr w:type="spellStart"/>
      <w:r w:rsidRPr="00457005">
        <w:rPr>
          <w:rFonts w:ascii="Verdana" w:hAnsi="Verdana"/>
          <w:sz w:val="20"/>
          <w:szCs w:val="20"/>
          <w:lang w:val="en-US"/>
        </w:rPr>
        <w:t>Clin</w:t>
      </w:r>
      <w:proofErr w:type="spellEnd"/>
      <w:r w:rsidRPr="00457005">
        <w:rPr>
          <w:rFonts w:ascii="Verdana" w:hAnsi="Verdana"/>
          <w:sz w:val="20"/>
          <w:szCs w:val="20"/>
          <w:lang w:val="en-US"/>
        </w:rPr>
        <w:t xml:space="preserve"> </w:t>
      </w:r>
      <w:proofErr w:type="spellStart"/>
      <w:r w:rsidRPr="00457005">
        <w:rPr>
          <w:rFonts w:ascii="Verdana" w:hAnsi="Verdana"/>
          <w:sz w:val="20"/>
          <w:szCs w:val="20"/>
          <w:lang w:val="en-US"/>
        </w:rPr>
        <w:t>Neuroophthalmol</w:t>
      </w:r>
      <w:proofErr w:type="spellEnd"/>
      <w:r w:rsidRPr="00457005">
        <w:rPr>
          <w:rFonts w:ascii="Verdana" w:hAnsi="Verdana"/>
          <w:sz w:val="20"/>
          <w:szCs w:val="20"/>
          <w:lang w:val="en-US"/>
        </w:rPr>
        <w:t>.</w:t>
      </w:r>
      <w:proofErr w:type="gramEnd"/>
      <w:r w:rsidRPr="00457005">
        <w:rPr>
          <w:rFonts w:ascii="Verdana" w:hAnsi="Verdana"/>
          <w:sz w:val="20"/>
          <w:szCs w:val="20"/>
          <w:lang w:val="en-US"/>
        </w:rPr>
        <w:t xml:space="preserve"> 1993</w:t>
      </w:r>
      <w:proofErr w:type="gramStart"/>
      <w:r w:rsidRPr="00457005">
        <w:rPr>
          <w:rFonts w:ascii="Verdana" w:hAnsi="Verdana"/>
          <w:sz w:val="20"/>
          <w:szCs w:val="20"/>
          <w:lang w:val="en-US"/>
        </w:rPr>
        <w:t>;13:258</w:t>
      </w:r>
      <w:proofErr w:type="gramEnd"/>
      <w:r w:rsidRPr="00457005">
        <w:rPr>
          <w:rFonts w:ascii="Verdana" w:hAnsi="Verdana"/>
          <w:sz w:val="20"/>
          <w:szCs w:val="20"/>
          <w:lang w:val="en-US"/>
        </w:rPr>
        <w:t xml:space="preserve">-61. </w:t>
      </w:r>
      <w:r w:rsidRPr="00457005">
        <w:rPr>
          <w:rFonts w:ascii="Verdana" w:hAnsi="Verdana"/>
          <w:sz w:val="20"/>
          <w:szCs w:val="20"/>
          <w:lang w:val="en-US"/>
        </w:rPr>
        <w:br/>
      </w:r>
      <w:r w:rsidRPr="00457005">
        <w:rPr>
          <w:rFonts w:ascii="Verdana" w:hAnsi="Verdana"/>
          <w:sz w:val="20"/>
          <w:szCs w:val="20"/>
          <w:lang w:val="en-US"/>
        </w:rPr>
        <w:br/>
        <w:t xml:space="preserve">6. </w:t>
      </w:r>
      <w:proofErr w:type="spellStart"/>
      <w:r w:rsidRPr="00457005">
        <w:rPr>
          <w:rFonts w:ascii="Verdana" w:hAnsi="Verdana"/>
          <w:sz w:val="20"/>
          <w:szCs w:val="20"/>
          <w:lang w:val="en-US"/>
        </w:rPr>
        <w:t>Biglan</w:t>
      </w:r>
      <w:proofErr w:type="spellEnd"/>
      <w:r w:rsidRPr="00457005">
        <w:rPr>
          <w:rFonts w:ascii="Verdana" w:hAnsi="Verdana"/>
          <w:sz w:val="20"/>
          <w:szCs w:val="20"/>
          <w:lang w:val="en-US"/>
        </w:rPr>
        <w:t xml:space="preserve"> AW. Control of eyelid retraction associated with Graves' disease with </w:t>
      </w:r>
      <w:proofErr w:type="spellStart"/>
      <w:r w:rsidRPr="00457005">
        <w:rPr>
          <w:rFonts w:ascii="Verdana" w:hAnsi="Verdana"/>
          <w:sz w:val="20"/>
          <w:szCs w:val="20"/>
          <w:lang w:val="en-US"/>
        </w:rPr>
        <w:t>botulinum</w:t>
      </w:r>
      <w:proofErr w:type="spellEnd"/>
      <w:r w:rsidRPr="00457005">
        <w:rPr>
          <w:rFonts w:ascii="Verdana" w:hAnsi="Verdana"/>
          <w:sz w:val="20"/>
          <w:szCs w:val="20"/>
          <w:lang w:val="en-US"/>
        </w:rPr>
        <w:t xml:space="preserve"> </w:t>
      </w:r>
      <w:proofErr w:type="gramStart"/>
      <w:r w:rsidRPr="00457005">
        <w:rPr>
          <w:rFonts w:ascii="Verdana" w:hAnsi="Verdana"/>
          <w:sz w:val="20"/>
          <w:szCs w:val="20"/>
          <w:lang w:val="en-US"/>
        </w:rPr>
        <w:t>A</w:t>
      </w:r>
      <w:proofErr w:type="gramEnd"/>
      <w:r w:rsidRPr="00457005">
        <w:rPr>
          <w:rFonts w:ascii="Verdana" w:hAnsi="Verdana"/>
          <w:sz w:val="20"/>
          <w:szCs w:val="20"/>
          <w:lang w:val="en-US"/>
        </w:rPr>
        <w:t xml:space="preserve"> toxin. </w:t>
      </w:r>
      <w:proofErr w:type="spellStart"/>
      <w:r>
        <w:rPr>
          <w:rFonts w:ascii="Verdana" w:hAnsi="Verdana"/>
          <w:sz w:val="20"/>
          <w:szCs w:val="20"/>
        </w:rPr>
        <w:t>Ophthalmic</w:t>
      </w:r>
      <w:proofErr w:type="spellEnd"/>
      <w:r>
        <w:rPr>
          <w:rFonts w:ascii="Verdana" w:hAnsi="Verdana"/>
          <w:sz w:val="20"/>
          <w:szCs w:val="20"/>
        </w:rPr>
        <w:t xml:space="preserve"> </w:t>
      </w:r>
      <w:proofErr w:type="spellStart"/>
      <w:r>
        <w:rPr>
          <w:rFonts w:ascii="Verdana" w:hAnsi="Verdana"/>
          <w:sz w:val="20"/>
          <w:szCs w:val="20"/>
        </w:rPr>
        <w:t>Surg</w:t>
      </w:r>
      <w:proofErr w:type="spellEnd"/>
      <w:r>
        <w:rPr>
          <w:rFonts w:ascii="Verdana" w:hAnsi="Verdana"/>
          <w:sz w:val="20"/>
          <w:szCs w:val="20"/>
        </w:rPr>
        <w:t>. 1994</w:t>
      </w:r>
      <w:proofErr w:type="gramStart"/>
      <w:r>
        <w:rPr>
          <w:rFonts w:ascii="Verdana" w:hAnsi="Verdana"/>
          <w:sz w:val="20"/>
          <w:szCs w:val="20"/>
        </w:rPr>
        <w:t>;25:186</w:t>
      </w:r>
      <w:proofErr w:type="gramEnd"/>
      <w:r>
        <w:rPr>
          <w:rFonts w:ascii="Verdana" w:hAnsi="Verdana"/>
          <w:sz w:val="20"/>
          <w:szCs w:val="20"/>
        </w:rPr>
        <w:t>-8.</w:t>
      </w:r>
    </w:p>
    <w:p w:rsidR="00457005" w:rsidRDefault="00457005" w:rsidP="00457005">
      <w:pPr>
        <w:pStyle w:val="NormalWeb"/>
        <w:spacing w:after="240" w:afterAutospacing="0"/>
      </w:pPr>
      <w:r w:rsidRPr="00457005">
        <w:rPr>
          <w:rFonts w:ascii="Verdana" w:hAnsi="Verdana"/>
          <w:sz w:val="20"/>
          <w:szCs w:val="20"/>
          <w:lang w:val="en-US"/>
        </w:rPr>
        <w:t xml:space="preserve">7. </w:t>
      </w:r>
      <w:proofErr w:type="spellStart"/>
      <w:r w:rsidRPr="00457005">
        <w:rPr>
          <w:rFonts w:ascii="Verdana" w:hAnsi="Verdana"/>
          <w:sz w:val="20"/>
          <w:szCs w:val="20"/>
          <w:lang w:val="en-US"/>
        </w:rPr>
        <w:t>Uddin</w:t>
      </w:r>
      <w:proofErr w:type="spellEnd"/>
      <w:r w:rsidRPr="00457005">
        <w:rPr>
          <w:rFonts w:ascii="Verdana" w:hAnsi="Verdana"/>
          <w:sz w:val="20"/>
          <w:szCs w:val="20"/>
          <w:lang w:val="en-US"/>
        </w:rPr>
        <w:t xml:space="preserve"> JM, Davies PD. Treatment of upper eyelid retraction associated with thyroid eye disease with </w:t>
      </w:r>
      <w:proofErr w:type="spellStart"/>
      <w:r w:rsidRPr="00457005">
        <w:rPr>
          <w:rFonts w:ascii="Verdana" w:hAnsi="Verdana"/>
          <w:sz w:val="20"/>
          <w:szCs w:val="20"/>
          <w:lang w:val="en-US"/>
        </w:rPr>
        <w:t>subconjunctival</w:t>
      </w:r>
      <w:proofErr w:type="spellEnd"/>
      <w:r w:rsidRPr="00457005">
        <w:rPr>
          <w:rFonts w:ascii="Verdana" w:hAnsi="Verdana"/>
          <w:sz w:val="20"/>
          <w:szCs w:val="20"/>
          <w:lang w:val="en-US"/>
        </w:rPr>
        <w:t xml:space="preserve"> </w:t>
      </w:r>
      <w:proofErr w:type="spellStart"/>
      <w:r w:rsidRPr="00457005">
        <w:rPr>
          <w:rFonts w:ascii="Verdana" w:hAnsi="Verdana"/>
          <w:sz w:val="20"/>
          <w:szCs w:val="20"/>
          <w:lang w:val="en-US"/>
        </w:rPr>
        <w:t>botulinum</w:t>
      </w:r>
      <w:proofErr w:type="spellEnd"/>
      <w:r w:rsidRPr="00457005">
        <w:rPr>
          <w:rFonts w:ascii="Verdana" w:hAnsi="Verdana"/>
          <w:sz w:val="20"/>
          <w:szCs w:val="20"/>
          <w:lang w:val="en-US"/>
        </w:rPr>
        <w:t xml:space="preserve"> toxin injection. </w:t>
      </w:r>
      <w:proofErr w:type="gramStart"/>
      <w:r w:rsidRPr="00457005">
        <w:rPr>
          <w:rFonts w:ascii="Verdana" w:hAnsi="Verdana"/>
          <w:sz w:val="20"/>
          <w:szCs w:val="20"/>
          <w:lang w:val="en-US"/>
        </w:rPr>
        <w:t>Ophthalmology.</w:t>
      </w:r>
      <w:proofErr w:type="gramEnd"/>
      <w:r w:rsidRPr="00457005">
        <w:rPr>
          <w:rFonts w:ascii="Verdana" w:hAnsi="Verdana"/>
          <w:sz w:val="20"/>
          <w:szCs w:val="20"/>
          <w:lang w:val="en-US"/>
        </w:rPr>
        <w:t xml:space="preserve"> 2002</w:t>
      </w:r>
      <w:proofErr w:type="gramStart"/>
      <w:r w:rsidRPr="00457005">
        <w:rPr>
          <w:rFonts w:ascii="Verdana" w:hAnsi="Verdana"/>
          <w:sz w:val="20"/>
          <w:szCs w:val="20"/>
          <w:lang w:val="en-US"/>
        </w:rPr>
        <w:t>;109:1183</w:t>
      </w:r>
      <w:proofErr w:type="gramEnd"/>
      <w:r w:rsidRPr="00457005">
        <w:rPr>
          <w:rFonts w:ascii="Verdana" w:hAnsi="Verdana"/>
          <w:sz w:val="20"/>
          <w:szCs w:val="20"/>
          <w:lang w:val="en-US"/>
        </w:rPr>
        <w:t xml:space="preserve">-7. </w:t>
      </w:r>
      <w:r w:rsidRPr="00457005">
        <w:rPr>
          <w:rFonts w:ascii="Verdana" w:hAnsi="Verdana"/>
          <w:sz w:val="20"/>
          <w:szCs w:val="20"/>
          <w:lang w:val="en-US"/>
        </w:rPr>
        <w:br/>
      </w:r>
      <w:r w:rsidRPr="00457005">
        <w:rPr>
          <w:rFonts w:ascii="Verdana" w:hAnsi="Verdana"/>
          <w:sz w:val="20"/>
          <w:szCs w:val="20"/>
          <w:lang w:val="en-US"/>
        </w:rPr>
        <w:br/>
        <w:t xml:space="preserve">8. </w:t>
      </w:r>
      <w:proofErr w:type="spellStart"/>
      <w:r w:rsidRPr="00457005">
        <w:rPr>
          <w:rFonts w:ascii="Verdana" w:hAnsi="Verdana"/>
          <w:sz w:val="20"/>
          <w:szCs w:val="20"/>
          <w:lang w:val="en-US"/>
        </w:rPr>
        <w:t>Kocabeyoglu</w:t>
      </w:r>
      <w:proofErr w:type="spellEnd"/>
      <w:r w:rsidRPr="00457005">
        <w:rPr>
          <w:rFonts w:ascii="Verdana" w:hAnsi="Verdana"/>
          <w:sz w:val="20"/>
          <w:szCs w:val="20"/>
          <w:lang w:val="en-US"/>
        </w:rPr>
        <w:t xml:space="preserve"> S, </w:t>
      </w:r>
      <w:proofErr w:type="spellStart"/>
      <w:r w:rsidRPr="00457005">
        <w:rPr>
          <w:rFonts w:ascii="Verdana" w:hAnsi="Verdana"/>
          <w:sz w:val="20"/>
          <w:szCs w:val="20"/>
          <w:lang w:val="en-US"/>
        </w:rPr>
        <w:t>Sekeroglu</w:t>
      </w:r>
      <w:proofErr w:type="spellEnd"/>
      <w:r w:rsidRPr="00457005">
        <w:rPr>
          <w:rFonts w:ascii="Verdana" w:hAnsi="Verdana"/>
          <w:sz w:val="20"/>
          <w:szCs w:val="20"/>
          <w:lang w:val="en-US"/>
        </w:rPr>
        <w:t xml:space="preserve"> H, </w:t>
      </w:r>
      <w:proofErr w:type="spellStart"/>
      <w:r w:rsidRPr="00457005">
        <w:rPr>
          <w:rFonts w:ascii="Verdana" w:hAnsi="Verdana"/>
          <w:sz w:val="20"/>
          <w:szCs w:val="20"/>
          <w:lang w:val="en-US"/>
        </w:rPr>
        <w:t>Mocan</w:t>
      </w:r>
      <w:proofErr w:type="spellEnd"/>
      <w:r w:rsidRPr="00457005">
        <w:rPr>
          <w:rFonts w:ascii="Verdana" w:hAnsi="Verdana"/>
          <w:sz w:val="20"/>
          <w:szCs w:val="20"/>
          <w:lang w:val="en-US"/>
        </w:rPr>
        <w:t xml:space="preserve"> M, </w:t>
      </w:r>
      <w:proofErr w:type="spellStart"/>
      <w:r w:rsidRPr="00457005">
        <w:rPr>
          <w:rFonts w:ascii="Verdana" w:hAnsi="Verdana"/>
          <w:sz w:val="20"/>
          <w:szCs w:val="20"/>
          <w:lang w:val="en-US"/>
        </w:rPr>
        <w:t>Muz</w:t>
      </w:r>
      <w:proofErr w:type="spellEnd"/>
      <w:r w:rsidRPr="00457005">
        <w:rPr>
          <w:rFonts w:ascii="Verdana" w:hAnsi="Verdana"/>
          <w:sz w:val="20"/>
          <w:szCs w:val="20"/>
          <w:lang w:val="en-US"/>
        </w:rPr>
        <w:t xml:space="preserve"> E, </w:t>
      </w:r>
      <w:proofErr w:type="spellStart"/>
      <w:r w:rsidRPr="00457005">
        <w:rPr>
          <w:rFonts w:ascii="Verdana" w:hAnsi="Verdana"/>
          <w:sz w:val="20"/>
          <w:szCs w:val="20"/>
          <w:lang w:val="en-US"/>
        </w:rPr>
        <w:t>Irkec</w:t>
      </w:r>
      <w:proofErr w:type="spellEnd"/>
      <w:r w:rsidRPr="00457005">
        <w:rPr>
          <w:rFonts w:ascii="Verdana" w:hAnsi="Verdana"/>
          <w:sz w:val="20"/>
          <w:szCs w:val="20"/>
          <w:lang w:val="en-US"/>
        </w:rPr>
        <w:t xml:space="preserve"> M, </w:t>
      </w:r>
      <w:proofErr w:type="spellStart"/>
      <w:r w:rsidRPr="00457005">
        <w:rPr>
          <w:rFonts w:ascii="Verdana" w:hAnsi="Verdana"/>
          <w:sz w:val="20"/>
          <w:szCs w:val="20"/>
          <w:lang w:val="en-US"/>
        </w:rPr>
        <w:t>Sanac</w:t>
      </w:r>
      <w:proofErr w:type="spellEnd"/>
      <w:r w:rsidRPr="00457005">
        <w:rPr>
          <w:rFonts w:ascii="Verdana" w:hAnsi="Verdana"/>
          <w:sz w:val="20"/>
          <w:szCs w:val="20"/>
          <w:lang w:val="en-US"/>
        </w:rPr>
        <w:t xml:space="preserve"> A. Ocular surface alterations in </w:t>
      </w:r>
      <w:proofErr w:type="spellStart"/>
      <w:r w:rsidRPr="00457005">
        <w:rPr>
          <w:rFonts w:ascii="Verdana" w:hAnsi="Verdana"/>
          <w:sz w:val="20"/>
          <w:szCs w:val="20"/>
          <w:lang w:val="en-US"/>
        </w:rPr>
        <w:t>blepharospasm</w:t>
      </w:r>
      <w:proofErr w:type="spellEnd"/>
      <w:r w:rsidRPr="00457005">
        <w:rPr>
          <w:rFonts w:ascii="Verdana" w:hAnsi="Verdana"/>
          <w:sz w:val="20"/>
          <w:szCs w:val="20"/>
          <w:lang w:val="en-US"/>
        </w:rPr>
        <w:t xml:space="preserve"> patients treated with </w:t>
      </w:r>
      <w:proofErr w:type="spellStart"/>
      <w:r w:rsidRPr="00457005">
        <w:rPr>
          <w:rFonts w:ascii="Verdana" w:hAnsi="Verdana"/>
          <w:sz w:val="20"/>
          <w:szCs w:val="20"/>
          <w:lang w:val="en-US"/>
        </w:rPr>
        <w:t>botulinum</w:t>
      </w:r>
      <w:proofErr w:type="spellEnd"/>
      <w:r w:rsidRPr="00457005">
        <w:rPr>
          <w:rFonts w:ascii="Verdana" w:hAnsi="Verdana"/>
          <w:sz w:val="20"/>
          <w:szCs w:val="20"/>
          <w:lang w:val="en-US"/>
        </w:rPr>
        <w:t xml:space="preserve"> toxin </w:t>
      </w:r>
      <w:proofErr w:type="gramStart"/>
      <w:r w:rsidRPr="00457005">
        <w:rPr>
          <w:rFonts w:ascii="Verdana" w:hAnsi="Verdana"/>
          <w:sz w:val="20"/>
          <w:szCs w:val="20"/>
          <w:lang w:val="en-US"/>
        </w:rPr>
        <w:t>A</w:t>
      </w:r>
      <w:proofErr w:type="gramEnd"/>
      <w:r w:rsidRPr="00457005">
        <w:rPr>
          <w:rFonts w:ascii="Verdana" w:hAnsi="Verdana"/>
          <w:sz w:val="20"/>
          <w:szCs w:val="20"/>
          <w:lang w:val="en-US"/>
        </w:rPr>
        <w:t xml:space="preserve"> injection. </w:t>
      </w:r>
      <w:proofErr w:type="spellStart"/>
      <w:r w:rsidRPr="00457005">
        <w:rPr>
          <w:rFonts w:ascii="Verdana" w:hAnsi="Verdana"/>
          <w:sz w:val="20"/>
          <w:szCs w:val="20"/>
          <w:lang w:val="en-US"/>
        </w:rPr>
        <w:t>Eur</w:t>
      </w:r>
      <w:proofErr w:type="spellEnd"/>
      <w:r w:rsidRPr="00457005">
        <w:rPr>
          <w:rFonts w:ascii="Verdana" w:hAnsi="Verdana"/>
          <w:sz w:val="20"/>
          <w:szCs w:val="20"/>
          <w:lang w:val="en-US"/>
        </w:rPr>
        <w:t xml:space="preserve"> J </w:t>
      </w:r>
      <w:proofErr w:type="spellStart"/>
      <w:r w:rsidRPr="00457005">
        <w:rPr>
          <w:rFonts w:ascii="Verdana" w:hAnsi="Verdana"/>
          <w:sz w:val="20"/>
          <w:szCs w:val="20"/>
          <w:lang w:val="en-US"/>
        </w:rPr>
        <w:t>Ophthalmol</w:t>
      </w:r>
      <w:proofErr w:type="spellEnd"/>
      <w:r w:rsidRPr="00457005">
        <w:rPr>
          <w:rFonts w:ascii="Verdana" w:hAnsi="Verdana"/>
          <w:sz w:val="20"/>
          <w:szCs w:val="20"/>
          <w:lang w:val="en-US"/>
        </w:rPr>
        <w:t>. 2014</w:t>
      </w:r>
      <w:proofErr w:type="gramStart"/>
      <w:r w:rsidRPr="00457005">
        <w:rPr>
          <w:rFonts w:ascii="Verdana" w:hAnsi="Verdana"/>
          <w:sz w:val="20"/>
          <w:szCs w:val="20"/>
          <w:lang w:val="en-US"/>
        </w:rPr>
        <w:t>;24</w:t>
      </w:r>
      <w:proofErr w:type="gramEnd"/>
      <w:r w:rsidRPr="00457005">
        <w:rPr>
          <w:rFonts w:ascii="Verdana" w:hAnsi="Verdana"/>
          <w:sz w:val="20"/>
          <w:szCs w:val="20"/>
          <w:lang w:val="en-US"/>
        </w:rPr>
        <w:t xml:space="preserve">(6):830-34. </w:t>
      </w:r>
      <w:r w:rsidRPr="00457005">
        <w:rPr>
          <w:rFonts w:ascii="Verdana" w:hAnsi="Verdana"/>
          <w:sz w:val="20"/>
          <w:szCs w:val="20"/>
          <w:lang w:val="en-US"/>
        </w:rPr>
        <w:br/>
      </w:r>
      <w:r w:rsidRPr="00457005">
        <w:rPr>
          <w:rFonts w:ascii="Verdana" w:hAnsi="Verdana"/>
          <w:sz w:val="20"/>
          <w:szCs w:val="20"/>
          <w:lang w:val="en-US"/>
        </w:rPr>
        <w:br/>
        <w:t xml:space="preserve">9. </w:t>
      </w:r>
      <w:proofErr w:type="spellStart"/>
      <w:r w:rsidRPr="00457005">
        <w:rPr>
          <w:rFonts w:ascii="Verdana" w:hAnsi="Verdana"/>
          <w:sz w:val="20"/>
          <w:szCs w:val="20"/>
          <w:lang w:val="en-US"/>
        </w:rPr>
        <w:t>Alaraj</w:t>
      </w:r>
      <w:proofErr w:type="spellEnd"/>
      <w:r w:rsidRPr="00457005">
        <w:rPr>
          <w:rFonts w:ascii="Verdana" w:hAnsi="Verdana"/>
          <w:sz w:val="20"/>
          <w:szCs w:val="20"/>
          <w:lang w:val="en-US"/>
        </w:rPr>
        <w:t xml:space="preserve"> M, </w:t>
      </w:r>
      <w:proofErr w:type="spellStart"/>
      <w:r w:rsidRPr="00457005">
        <w:rPr>
          <w:rFonts w:ascii="Verdana" w:hAnsi="Verdana"/>
          <w:sz w:val="20"/>
          <w:szCs w:val="20"/>
          <w:lang w:val="en-US"/>
        </w:rPr>
        <w:t>Oystreck</w:t>
      </w:r>
      <w:proofErr w:type="spellEnd"/>
      <w:r w:rsidRPr="00457005">
        <w:rPr>
          <w:rFonts w:ascii="Verdana" w:hAnsi="Verdana"/>
          <w:sz w:val="20"/>
          <w:szCs w:val="20"/>
          <w:lang w:val="en-US"/>
        </w:rPr>
        <w:t xml:space="preserve"> D, </w:t>
      </w:r>
      <w:proofErr w:type="spellStart"/>
      <w:r w:rsidRPr="00457005">
        <w:rPr>
          <w:rFonts w:ascii="Verdana" w:hAnsi="Verdana"/>
          <w:sz w:val="20"/>
          <w:szCs w:val="20"/>
          <w:lang w:val="en-US"/>
        </w:rPr>
        <w:t>MedSci</w:t>
      </w:r>
      <w:proofErr w:type="spellEnd"/>
      <w:r w:rsidRPr="00457005">
        <w:rPr>
          <w:rFonts w:ascii="Verdana" w:hAnsi="Verdana"/>
          <w:sz w:val="20"/>
          <w:szCs w:val="20"/>
          <w:lang w:val="en-US"/>
        </w:rPr>
        <w:t xml:space="preserve"> M, </w:t>
      </w:r>
      <w:proofErr w:type="spellStart"/>
      <w:r w:rsidRPr="00457005">
        <w:rPr>
          <w:rFonts w:ascii="Verdana" w:hAnsi="Verdana"/>
          <w:sz w:val="20"/>
          <w:szCs w:val="20"/>
          <w:lang w:val="en-US"/>
        </w:rPr>
        <w:t>Bosley</w:t>
      </w:r>
      <w:proofErr w:type="spellEnd"/>
      <w:r w:rsidRPr="00457005">
        <w:rPr>
          <w:rFonts w:ascii="Verdana" w:hAnsi="Verdana"/>
          <w:sz w:val="20"/>
          <w:szCs w:val="20"/>
          <w:lang w:val="en-US"/>
        </w:rPr>
        <w:t xml:space="preserve"> T. Variable ptosis after </w:t>
      </w:r>
      <w:proofErr w:type="spellStart"/>
      <w:r w:rsidRPr="00457005">
        <w:rPr>
          <w:rFonts w:ascii="Verdana" w:hAnsi="Verdana"/>
          <w:sz w:val="20"/>
          <w:szCs w:val="20"/>
          <w:lang w:val="en-US"/>
        </w:rPr>
        <w:t>botulinum</w:t>
      </w:r>
      <w:proofErr w:type="spellEnd"/>
      <w:r w:rsidRPr="00457005">
        <w:rPr>
          <w:rFonts w:ascii="Verdana" w:hAnsi="Verdana"/>
          <w:sz w:val="20"/>
          <w:szCs w:val="20"/>
          <w:lang w:val="en-US"/>
        </w:rPr>
        <w:t xml:space="preserve"> toxin type </w:t>
      </w:r>
      <w:proofErr w:type="gramStart"/>
      <w:r w:rsidRPr="00457005">
        <w:rPr>
          <w:rFonts w:ascii="Verdana" w:hAnsi="Verdana"/>
          <w:sz w:val="20"/>
          <w:szCs w:val="20"/>
          <w:lang w:val="en-US"/>
        </w:rPr>
        <w:t>A</w:t>
      </w:r>
      <w:proofErr w:type="gramEnd"/>
      <w:r w:rsidRPr="00457005">
        <w:rPr>
          <w:rFonts w:ascii="Verdana" w:hAnsi="Verdana"/>
          <w:sz w:val="20"/>
          <w:szCs w:val="20"/>
          <w:lang w:val="en-US"/>
        </w:rPr>
        <w:t xml:space="preserve"> injection with positive ICE test mimicking ocular myasthenia gravis. </w:t>
      </w:r>
      <w:proofErr w:type="gramStart"/>
      <w:r w:rsidRPr="00457005">
        <w:rPr>
          <w:rFonts w:ascii="Verdana" w:hAnsi="Verdana"/>
          <w:sz w:val="20"/>
          <w:szCs w:val="20"/>
          <w:lang w:val="en-US"/>
        </w:rPr>
        <w:t xml:space="preserve">J </w:t>
      </w:r>
      <w:proofErr w:type="spellStart"/>
      <w:r w:rsidRPr="00457005">
        <w:rPr>
          <w:rFonts w:ascii="Verdana" w:hAnsi="Verdana"/>
          <w:sz w:val="20"/>
          <w:szCs w:val="20"/>
          <w:lang w:val="en-US"/>
        </w:rPr>
        <w:t>Neuro-Ophthalmol</w:t>
      </w:r>
      <w:proofErr w:type="spellEnd"/>
      <w:r w:rsidRPr="00457005">
        <w:rPr>
          <w:rFonts w:ascii="Verdana" w:hAnsi="Verdana"/>
          <w:sz w:val="20"/>
          <w:szCs w:val="20"/>
          <w:lang w:val="en-US"/>
        </w:rPr>
        <w:t>.</w:t>
      </w:r>
      <w:proofErr w:type="gramEnd"/>
      <w:r w:rsidRPr="00457005">
        <w:rPr>
          <w:rFonts w:ascii="Verdana" w:hAnsi="Verdana"/>
          <w:sz w:val="20"/>
          <w:szCs w:val="20"/>
          <w:lang w:val="en-US"/>
        </w:rPr>
        <w:t xml:space="preserve"> 2013</w:t>
      </w:r>
      <w:proofErr w:type="gramStart"/>
      <w:r w:rsidRPr="00457005">
        <w:rPr>
          <w:rFonts w:ascii="Verdana" w:hAnsi="Verdana"/>
          <w:sz w:val="20"/>
          <w:szCs w:val="20"/>
          <w:lang w:val="en-US"/>
        </w:rPr>
        <w:t>;33:169</w:t>
      </w:r>
      <w:proofErr w:type="gramEnd"/>
      <w:r w:rsidRPr="00457005">
        <w:rPr>
          <w:rFonts w:ascii="Verdana" w:hAnsi="Verdana"/>
          <w:sz w:val="20"/>
          <w:szCs w:val="20"/>
          <w:lang w:val="en-US"/>
        </w:rPr>
        <w:t xml:space="preserve">-71. </w:t>
      </w:r>
      <w:r w:rsidRPr="00457005">
        <w:rPr>
          <w:rFonts w:ascii="Verdana" w:hAnsi="Verdana"/>
          <w:sz w:val="20"/>
          <w:szCs w:val="20"/>
          <w:lang w:val="en-US"/>
        </w:rPr>
        <w:br/>
      </w:r>
      <w:r w:rsidRPr="00457005">
        <w:rPr>
          <w:rFonts w:ascii="Verdana" w:hAnsi="Verdana"/>
          <w:sz w:val="20"/>
          <w:szCs w:val="20"/>
          <w:lang w:val="en-US"/>
        </w:rPr>
        <w:lastRenderedPageBreak/>
        <w:br/>
        <w:t xml:space="preserve">10. Paik H, Kang K, Choi S, Choi G, </w:t>
      </w:r>
      <w:proofErr w:type="spellStart"/>
      <w:r w:rsidRPr="00457005">
        <w:rPr>
          <w:rFonts w:ascii="Verdana" w:hAnsi="Verdana"/>
          <w:sz w:val="20"/>
          <w:szCs w:val="20"/>
          <w:lang w:val="en-US"/>
        </w:rPr>
        <w:t>Yim</w:t>
      </w:r>
      <w:proofErr w:type="spellEnd"/>
      <w:r w:rsidRPr="00457005">
        <w:rPr>
          <w:rFonts w:ascii="Verdana" w:hAnsi="Verdana"/>
          <w:sz w:val="20"/>
          <w:szCs w:val="20"/>
          <w:lang w:val="en-US"/>
        </w:rPr>
        <w:t xml:space="preserve"> H. Effects of </w:t>
      </w:r>
      <w:proofErr w:type="spellStart"/>
      <w:r w:rsidRPr="00457005">
        <w:rPr>
          <w:rFonts w:ascii="Verdana" w:hAnsi="Verdana"/>
          <w:sz w:val="20"/>
          <w:szCs w:val="20"/>
          <w:lang w:val="en-US"/>
        </w:rPr>
        <w:t>botulinum</w:t>
      </w:r>
      <w:proofErr w:type="spellEnd"/>
      <w:r w:rsidRPr="00457005">
        <w:rPr>
          <w:rFonts w:ascii="Verdana" w:hAnsi="Verdana"/>
          <w:sz w:val="20"/>
          <w:szCs w:val="20"/>
          <w:lang w:val="en-US"/>
        </w:rPr>
        <w:t xml:space="preserve"> A toxin injection on the </w:t>
      </w:r>
      <w:proofErr w:type="spellStart"/>
      <w:r w:rsidRPr="00457005">
        <w:rPr>
          <w:rFonts w:ascii="Verdana" w:hAnsi="Verdana"/>
          <w:sz w:val="20"/>
          <w:szCs w:val="20"/>
          <w:lang w:val="en-US"/>
        </w:rPr>
        <w:t>extraocular</w:t>
      </w:r>
      <w:proofErr w:type="spellEnd"/>
      <w:r w:rsidRPr="00457005">
        <w:rPr>
          <w:rFonts w:ascii="Verdana" w:hAnsi="Verdana"/>
          <w:sz w:val="20"/>
          <w:szCs w:val="20"/>
          <w:lang w:val="en-US"/>
        </w:rPr>
        <w:t xml:space="preserve"> muscle fiber layers: comparison between </w:t>
      </w:r>
      <w:proofErr w:type="spellStart"/>
      <w:r w:rsidRPr="00457005">
        <w:rPr>
          <w:rFonts w:ascii="Verdana" w:hAnsi="Verdana"/>
          <w:sz w:val="20"/>
          <w:szCs w:val="20"/>
          <w:lang w:val="en-US"/>
        </w:rPr>
        <w:t>subtenon</w:t>
      </w:r>
      <w:proofErr w:type="spellEnd"/>
      <w:r w:rsidRPr="00457005">
        <w:rPr>
          <w:rFonts w:ascii="Verdana" w:hAnsi="Verdana"/>
          <w:sz w:val="20"/>
          <w:szCs w:val="20"/>
          <w:lang w:val="en-US"/>
        </w:rPr>
        <w:t xml:space="preserve"> injection and intramuscular injection. </w:t>
      </w:r>
      <w:proofErr w:type="spellStart"/>
      <w:r w:rsidRPr="00457005">
        <w:rPr>
          <w:rFonts w:ascii="Verdana" w:hAnsi="Verdana"/>
          <w:sz w:val="20"/>
          <w:szCs w:val="20"/>
          <w:lang w:val="en-US"/>
        </w:rPr>
        <w:t>Jpn</w:t>
      </w:r>
      <w:proofErr w:type="spellEnd"/>
      <w:r w:rsidRPr="00457005">
        <w:rPr>
          <w:rFonts w:ascii="Verdana" w:hAnsi="Verdana"/>
          <w:sz w:val="20"/>
          <w:szCs w:val="20"/>
          <w:lang w:val="en-US"/>
        </w:rPr>
        <w:t xml:space="preserve"> J </w:t>
      </w:r>
      <w:proofErr w:type="spellStart"/>
      <w:r w:rsidRPr="00457005">
        <w:rPr>
          <w:rFonts w:ascii="Verdana" w:hAnsi="Verdana"/>
          <w:sz w:val="20"/>
          <w:szCs w:val="20"/>
          <w:lang w:val="en-US"/>
        </w:rPr>
        <w:t>Ophthalmol</w:t>
      </w:r>
      <w:proofErr w:type="spellEnd"/>
      <w:r w:rsidRPr="00457005">
        <w:rPr>
          <w:rFonts w:ascii="Verdana" w:hAnsi="Verdana"/>
          <w:sz w:val="20"/>
          <w:szCs w:val="20"/>
          <w:lang w:val="en-US"/>
        </w:rPr>
        <w:t>. 2009</w:t>
      </w:r>
      <w:proofErr w:type="gramStart"/>
      <w:r w:rsidRPr="00457005">
        <w:rPr>
          <w:rFonts w:ascii="Verdana" w:hAnsi="Verdana"/>
          <w:sz w:val="20"/>
          <w:szCs w:val="20"/>
          <w:lang w:val="en-US"/>
        </w:rPr>
        <w:t>;53:229</w:t>
      </w:r>
      <w:proofErr w:type="gramEnd"/>
      <w:r w:rsidRPr="00457005">
        <w:rPr>
          <w:rFonts w:ascii="Verdana" w:hAnsi="Verdana"/>
          <w:sz w:val="20"/>
          <w:szCs w:val="20"/>
          <w:lang w:val="en-US"/>
        </w:rPr>
        <w:t xml:space="preserve">-34. </w:t>
      </w:r>
      <w:r w:rsidRPr="00457005">
        <w:rPr>
          <w:rFonts w:ascii="Verdana" w:hAnsi="Verdana"/>
          <w:sz w:val="20"/>
          <w:szCs w:val="20"/>
          <w:lang w:val="en-US"/>
        </w:rPr>
        <w:br/>
      </w:r>
      <w:r w:rsidRPr="00457005">
        <w:rPr>
          <w:rFonts w:ascii="Verdana" w:hAnsi="Verdana"/>
          <w:sz w:val="20"/>
          <w:szCs w:val="20"/>
          <w:lang w:val="en-US"/>
        </w:rPr>
        <w:br/>
        <w:t xml:space="preserve">11. </w:t>
      </w:r>
      <w:proofErr w:type="spellStart"/>
      <w:r w:rsidRPr="00457005">
        <w:rPr>
          <w:rFonts w:ascii="Verdana" w:hAnsi="Verdana"/>
          <w:sz w:val="20"/>
          <w:szCs w:val="20"/>
          <w:lang w:val="en-US"/>
        </w:rPr>
        <w:t>Ockrim</w:t>
      </w:r>
      <w:proofErr w:type="spellEnd"/>
      <w:r w:rsidRPr="00457005">
        <w:rPr>
          <w:rFonts w:ascii="Verdana" w:hAnsi="Verdana"/>
          <w:sz w:val="20"/>
          <w:szCs w:val="20"/>
          <w:lang w:val="en-US"/>
        </w:rPr>
        <w:t xml:space="preserve"> Z, Weir C, </w:t>
      </w:r>
      <w:proofErr w:type="spellStart"/>
      <w:r w:rsidRPr="00457005">
        <w:rPr>
          <w:rFonts w:ascii="Verdana" w:hAnsi="Verdana"/>
          <w:sz w:val="20"/>
          <w:szCs w:val="20"/>
          <w:lang w:val="en-US"/>
        </w:rPr>
        <w:t>Yim</w:t>
      </w:r>
      <w:proofErr w:type="spellEnd"/>
      <w:r w:rsidRPr="00457005">
        <w:rPr>
          <w:rFonts w:ascii="Verdana" w:hAnsi="Verdana"/>
          <w:sz w:val="20"/>
          <w:szCs w:val="20"/>
          <w:lang w:val="en-US"/>
        </w:rPr>
        <w:t xml:space="preserve"> L, Cleary M. </w:t>
      </w:r>
      <w:proofErr w:type="spellStart"/>
      <w:r w:rsidRPr="00457005">
        <w:rPr>
          <w:rFonts w:ascii="Verdana" w:hAnsi="Verdana"/>
          <w:sz w:val="20"/>
          <w:szCs w:val="20"/>
          <w:lang w:val="en-US"/>
        </w:rPr>
        <w:t>Botulinum</w:t>
      </w:r>
      <w:proofErr w:type="spellEnd"/>
      <w:r w:rsidRPr="00457005">
        <w:rPr>
          <w:rFonts w:ascii="Verdana" w:hAnsi="Verdana"/>
          <w:sz w:val="20"/>
          <w:szCs w:val="20"/>
          <w:lang w:val="en-US"/>
        </w:rPr>
        <w:t xml:space="preserve"> toxin as a postoperative diplopia test. It can also reduce the angle of deviation prior to surgery. </w:t>
      </w:r>
      <w:proofErr w:type="spellStart"/>
      <w:r>
        <w:rPr>
          <w:rFonts w:ascii="Verdana" w:hAnsi="Verdana"/>
          <w:sz w:val="20"/>
          <w:szCs w:val="20"/>
        </w:rPr>
        <w:t>Strabismus</w:t>
      </w:r>
      <w:proofErr w:type="spellEnd"/>
      <w:r>
        <w:rPr>
          <w:rFonts w:ascii="Verdana" w:hAnsi="Verdana"/>
          <w:sz w:val="20"/>
          <w:szCs w:val="20"/>
        </w:rPr>
        <w:t>. 2013</w:t>
      </w:r>
      <w:proofErr w:type="gramStart"/>
      <w:r>
        <w:rPr>
          <w:rFonts w:ascii="Verdana" w:hAnsi="Verdana"/>
          <w:sz w:val="20"/>
          <w:szCs w:val="20"/>
        </w:rPr>
        <w:t>;21</w:t>
      </w:r>
      <w:proofErr w:type="gramEnd"/>
      <w:r>
        <w:rPr>
          <w:rFonts w:ascii="Verdana" w:hAnsi="Verdana"/>
          <w:sz w:val="20"/>
          <w:szCs w:val="20"/>
        </w:rPr>
        <w:t xml:space="preserve">(4):199-202. </w:t>
      </w:r>
      <w:r>
        <w:rPr>
          <w:rFonts w:ascii="Verdana" w:hAnsi="Verdana"/>
          <w:sz w:val="20"/>
          <w:szCs w:val="20"/>
        </w:rPr>
        <w:br/>
      </w:r>
      <w:r>
        <w:rPr>
          <w:rFonts w:ascii="Verdana" w:hAnsi="Verdana"/>
          <w:sz w:val="20"/>
          <w:szCs w:val="20"/>
        </w:rPr>
        <w:br/>
        <w:t xml:space="preserve">12. Cáceres M, Marqués M, Cáceres O. Toxina botulínica A </w:t>
      </w:r>
      <w:r>
        <w:rPr>
          <w:rFonts w:ascii="Verdana" w:hAnsi="Verdana"/>
          <w:i/>
          <w:iCs/>
          <w:sz w:val="20"/>
          <w:szCs w:val="20"/>
        </w:rPr>
        <w:t>versus</w:t>
      </w:r>
      <w:r>
        <w:rPr>
          <w:rFonts w:ascii="Verdana" w:hAnsi="Verdana"/>
          <w:sz w:val="20"/>
          <w:szCs w:val="20"/>
        </w:rPr>
        <w:t xml:space="preserve"> cirugía en la retracción palpebral de la </w:t>
      </w:r>
      <w:proofErr w:type="spellStart"/>
      <w:r>
        <w:rPr>
          <w:rFonts w:ascii="Verdana" w:hAnsi="Verdana"/>
          <w:sz w:val="20"/>
          <w:szCs w:val="20"/>
        </w:rPr>
        <w:t>orbitopatía</w:t>
      </w:r>
      <w:proofErr w:type="spellEnd"/>
      <w:r>
        <w:rPr>
          <w:rFonts w:ascii="Verdana" w:hAnsi="Verdana"/>
          <w:sz w:val="20"/>
          <w:szCs w:val="20"/>
        </w:rPr>
        <w:t xml:space="preserve"> tiroidea. </w:t>
      </w:r>
      <w:proofErr w:type="spellStart"/>
      <w:r>
        <w:rPr>
          <w:rFonts w:ascii="Verdana" w:hAnsi="Verdana"/>
          <w:sz w:val="20"/>
          <w:szCs w:val="20"/>
        </w:rPr>
        <w:t>Rev</w:t>
      </w:r>
      <w:proofErr w:type="spellEnd"/>
      <w:r>
        <w:rPr>
          <w:rFonts w:ascii="Verdana" w:hAnsi="Verdana"/>
          <w:sz w:val="20"/>
          <w:szCs w:val="20"/>
        </w:rPr>
        <w:t xml:space="preserve"> Cubana </w:t>
      </w:r>
      <w:proofErr w:type="spellStart"/>
      <w:r>
        <w:rPr>
          <w:rFonts w:ascii="Verdana" w:hAnsi="Verdana"/>
          <w:sz w:val="20"/>
          <w:szCs w:val="20"/>
        </w:rPr>
        <w:t>Oftalmol</w:t>
      </w:r>
      <w:proofErr w:type="spellEnd"/>
      <w:r>
        <w:rPr>
          <w:rFonts w:ascii="Verdana" w:hAnsi="Verdana"/>
          <w:sz w:val="20"/>
          <w:szCs w:val="20"/>
        </w:rPr>
        <w:t>. 2010</w:t>
      </w:r>
      <w:proofErr w:type="gramStart"/>
      <w:r>
        <w:rPr>
          <w:rFonts w:ascii="Verdana" w:hAnsi="Verdana"/>
          <w:sz w:val="20"/>
          <w:szCs w:val="20"/>
        </w:rPr>
        <w:t>;23</w:t>
      </w:r>
      <w:proofErr w:type="gramEnd"/>
      <w:r>
        <w:rPr>
          <w:rFonts w:ascii="Verdana" w:hAnsi="Verdana"/>
          <w:sz w:val="20"/>
          <w:szCs w:val="20"/>
        </w:rPr>
        <w:t xml:space="preserve">(2):241-8. </w:t>
      </w:r>
      <w:r>
        <w:rPr>
          <w:rFonts w:ascii="Verdana" w:hAnsi="Verdana"/>
          <w:sz w:val="20"/>
          <w:szCs w:val="20"/>
        </w:rPr>
        <w:br/>
      </w:r>
      <w:r>
        <w:rPr>
          <w:rFonts w:ascii="Verdana" w:hAnsi="Verdana"/>
          <w:sz w:val="20"/>
          <w:szCs w:val="20"/>
        </w:rPr>
        <w:br/>
        <w:t xml:space="preserve">13. Cáceres M, Marqués M, Cáceres O. Resultados del tratamiento de la Orbitopatía tiroidea. Factores que influyen sobre la respuesta terapéutica. </w:t>
      </w:r>
      <w:proofErr w:type="spellStart"/>
      <w:r>
        <w:rPr>
          <w:rFonts w:ascii="Verdana" w:hAnsi="Verdana"/>
          <w:sz w:val="20"/>
          <w:szCs w:val="20"/>
        </w:rPr>
        <w:t>Rev</w:t>
      </w:r>
      <w:proofErr w:type="spellEnd"/>
      <w:r>
        <w:rPr>
          <w:rFonts w:ascii="Verdana" w:hAnsi="Verdana"/>
          <w:sz w:val="20"/>
          <w:szCs w:val="20"/>
        </w:rPr>
        <w:t xml:space="preserve"> Cubana </w:t>
      </w:r>
      <w:proofErr w:type="spellStart"/>
      <w:r>
        <w:rPr>
          <w:rFonts w:ascii="Verdana" w:hAnsi="Verdana"/>
          <w:sz w:val="20"/>
          <w:szCs w:val="20"/>
        </w:rPr>
        <w:t>Oftalmol</w:t>
      </w:r>
      <w:proofErr w:type="spellEnd"/>
      <w:r>
        <w:rPr>
          <w:rFonts w:ascii="Verdana" w:hAnsi="Verdana"/>
          <w:sz w:val="20"/>
          <w:szCs w:val="20"/>
        </w:rPr>
        <w:t>. 2015</w:t>
      </w:r>
      <w:proofErr w:type="gramStart"/>
      <w:r>
        <w:rPr>
          <w:rFonts w:ascii="Verdana" w:hAnsi="Verdana"/>
          <w:sz w:val="20"/>
          <w:szCs w:val="20"/>
        </w:rPr>
        <w:t>;23</w:t>
      </w:r>
      <w:proofErr w:type="gramEnd"/>
      <w:r>
        <w:rPr>
          <w:rFonts w:ascii="Verdana" w:hAnsi="Verdana"/>
          <w:sz w:val="20"/>
          <w:szCs w:val="20"/>
        </w:rPr>
        <w:t xml:space="preserve">(2):177-89. </w:t>
      </w:r>
      <w:r>
        <w:rPr>
          <w:rFonts w:ascii="Verdana" w:hAnsi="Verdana"/>
          <w:sz w:val="20"/>
          <w:szCs w:val="20"/>
        </w:rPr>
        <w:br/>
      </w:r>
      <w:r>
        <w:rPr>
          <w:rFonts w:ascii="Verdana" w:hAnsi="Verdana"/>
          <w:sz w:val="20"/>
          <w:szCs w:val="20"/>
        </w:rPr>
        <w:br/>
        <w:t xml:space="preserve">14. Cáceres M, Marqués M, Cáceres O. Tratamiento del estrabismo paralítico con toxina botulínica A. </w:t>
      </w:r>
      <w:proofErr w:type="spellStart"/>
      <w:r>
        <w:rPr>
          <w:rFonts w:ascii="Verdana" w:hAnsi="Verdana"/>
          <w:sz w:val="20"/>
          <w:szCs w:val="20"/>
        </w:rPr>
        <w:t>Rev</w:t>
      </w:r>
      <w:proofErr w:type="spellEnd"/>
      <w:r>
        <w:rPr>
          <w:rFonts w:ascii="Verdana" w:hAnsi="Verdana"/>
          <w:sz w:val="20"/>
          <w:szCs w:val="20"/>
        </w:rPr>
        <w:t xml:space="preserve"> Cubana </w:t>
      </w:r>
      <w:proofErr w:type="spellStart"/>
      <w:r>
        <w:rPr>
          <w:rFonts w:ascii="Verdana" w:hAnsi="Verdana"/>
          <w:sz w:val="20"/>
          <w:szCs w:val="20"/>
        </w:rPr>
        <w:t>Oftalmol</w:t>
      </w:r>
      <w:proofErr w:type="spellEnd"/>
      <w:r>
        <w:rPr>
          <w:rFonts w:ascii="Verdana" w:hAnsi="Verdana"/>
          <w:sz w:val="20"/>
          <w:szCs w:val="20"/>
        </w:rPr>
        <w:t xml:space="preserve">. </w:t>
      </w:r>
      <w:r w:rsidRPr="00457005">
        <w:rPr>
          <w:rFonts w:ascii="Verdana" w:hAnsi="Verdana"/>
          <w:sz w:val="20"/>
          <w:szCs w:val="20"/>
          <w:lang w:val="en-US"/>
        </w:rPr>
        <w:t>2015</w:t>
      </w:r>
      <w:proofErr w:type="gramStart"/>
      <w:r w:rsidRPr="00457005">
        <w:rPr>
          <w:rFonts w:ascii="Verdana" w:hAnsi="Verdana"/>
          <w:sz w:val="20"/>
          <w:szCs w:val="20"/>
          <w:lang w:val="en-US"/>
        </w:rPr>
        <w:t>;23</w:t>
      </w:r>
      <w:proofErr w:type="gramEnd"/>
      <w:r w:rsidRPr="00457005">
        <w:rPr>
          <w:rFonts w:ascii="Verdana" w:hAnsi="Verdana"/>
          <w:sz w:val="20"/>
          <w:szCs w:val="20"/>
          <w:lang w:val="en-US"/>
        </w:rPr>
        <w:t xml:space="preserve">(2):168-76. </w:t>
      </w:r>
      <w:r w:rsidRPr="00457005">
        <w:rPr>
          <w:rFonts w:ascii="Verdana" w:hAnsi="Verdana"/>
          <w:sz w:val="20"/>
          <w:szCs w:val="20"/>
          <w:lang w:val="en-US"/>
        </w:rPr>
        <w:br/>
      </w:r>
      <w:r w:rsidRPr="00457005">
        <w:rPr>
          <w:rFonts w:ascii="Verdana" w:hAnsi="Verdana"/>
          <w:sz w:val="20"/>
          <w:szCs w:val="20"/>
          <w:lang w:val="en-US"/>
        </w:rPr>
        <w:br/>
        <w:t xml:space="preserve">15. Costa P, </w:t>
      </w:r>
      <w:proofErr w:type="spellStart"/>
      <w:r w:rsidRPr="00457005">
        <w:rPr>
          <w:rFonts w:ascii="Verdana" w:hAnsi="Verdana"/>
          <w:sz w:val="20"/>
          <w:szCs w:val="20"/>
          <w:lang w:val="en-US"/>
        </w:rPr>
        <w:t>Saraiva</w:t>
      </w:r>
      <w:proofErr w:type="spellEnd"/>
      <w:r w:rsidRPr="00457005">
        <w:rPr>
          <w:rFonts w:ascii="Verdana" w:hAnsi="Verdana"/>
          <w:sz w:val="20"/>
          <w:szCs w:val="20"/>
          <w:lang w:val="en-US"/>
        </w:rPr>
        <w:t xml:space="preserve"> F, Pereira I, </w:t>
      </w:r>
      <w:proofErr w:type="spellStart"/>
      <w:r w:rsidRPr="00457005">
        <w:rPr>
          <w:rFonts w:ascii="Verdana" w:hAnsi="Verdana"/>
          <w:sz w:val="20"/>
          <w:szCs w:val="20"/>
          <w:lang w:val="en-US"/>
        </w:rPr>
        <w:t>Monteiro</w:t>
      </w:r>
      <w:proofErr w:type="spellEnd"/>
      <w:r w:rsidRPr="00457005">
        <w:rPr>
          <w:rFonts w:ascii="Verdana" w:hAnsi="Verdana"/>
          <w:sz w:val="20"/>
          <w:szCs w:val="20"/>
          <w:lang w:val="en-US"/>
        </w:rPr>
        <w:t xml:space="preserve"> M, </w:t>
      </w:r>
      <w:proofErr w:type="spellStart"/>
      <w:r w:rsidRPr="00457005">
        <w:rPr>
          <w:rFonts w:ascii="Verdana" w:hAnsi="Verdana"/>
          <w:sz w:val="20"/>
          <w:szCs w:val="20"/>
          <w:lang w:val="en-US"/>
        </w:rPr>
        <w:t>Matayoshi</w:t>
      </w:r>
      <w:proofErr w:type="spellEnd"/>
      <w:r w:rsidRPr="00457005">
        <w:rPr>
          <w:rFonts w:ascii="Verdana" w:hAnsi="Verdana"/>
          <w:sz w:val="20"/>
          <w:szCs w:val="20"/>
          <w:lang w:val="en-US"/>
        </w:rPr>
        <w:t xml:space="preserve"> S. Comparative study of </w:t>
      </w:r>
      <w:proofErr w:type="spellStart"/>
      <w:r w:rsidRPr="00457005">
        <w:rPr>
          <w:rFonts w:ascii="Verdana" w:hAnsi="Verdana"/>
          <w:sz w:val="20"/>
          <w:szCs w:val="20"/>
          <w:lang w:val="en-US"/>
        </w:rPr>
        <w:t>botox</w:t>
      </w:r>
      <w:proofErr w:type="spellEnd"/>
      <w:r w:rsidRPr="00457005">
        <w:rPr>
          <w:rFonts w:ascii="Verdana" w:hAnsi="Verdana"/>
          <w:sz w:val="20"/>
          <w:szCs w:val="20"/>
          <w:lang w:val="en-US"/>
        </w:rPr>
        <w:t xml:space="preserve"> injection treatment for upper eyelid retraction with 6-month follow-up in </w:t>
      </w:r>
      <w:r>
        <w:rPr>
          <w:rFonts w:ascii="Verdana" w:hAnsi="Verdana"/>
          <w:sz w:val="20"/>
          <w:szCs w:val="20"/>
          <w:lang w:val="en-US"/>
        </w:rPr>
        <w:t>p</w:t>
      </w:r>
      <w:r w:rsidRPr="00457005">
        <w:rPr>
          <w:rFonts w:ascii="Verdana" w:hAnsi="Verdana"/>
          <w:sz w:val="20"/>
          <w:szCs w:val="20"/>
          <w:lang w:val="en-US"/>
        </w:rPr>
        <w:t xml:space="preserve">atients with thyroid eye disease in the congestive or fibrotic stage. </w:t>
      </w:r>
      <w:proofErr w:type="gramStart"/>
      <w:r w:rsidRPr="00457005">
        <w:rPr>
          <w:rFonts w:ascii="Verdana" w:hAnsi="Verdana"/>
          <w:sz w:val="20"/>
          <w:szCs w:val="20"/>
          <w:lang w:val="en-US"/>
        </w:rPr>
        <w:t>Eye.</w:t>
      </w:r>
      <w:proofErr w:type="gramEnd"/>
      <w:r w:rsidRPr="00457005">
        <w:rPr>
          <w:rFonts w:ascii="Verdana" w:hAnsi="Verdana"/>
          <w:sz w:val="20"/>
          <w:szCs w:val="20"/>
          <w:lang w:val="en-US"/>
        </w:rPr>
        <w:t xml:space="preserve"> 2008:165-7. </w:t>
      </w:r>
      <w:r w:rsidRPr="00457005">
        <w:rPr>
          <w:rFonts w:ascii="Verdana" w:hAnsi="Verdana"/>
          <w:sz w:val="20"/>
          <w:szCs w:val="20"/>
          <w:lang w:val="en-US"/>
        </w:rPr>
        <w:br/>
      </w:r>
      <w:r w:rsidRPr="00457005">
        <w:rPr>
          <w:rFonts w:ascii="Verdana" w:hAnsi="Verdana"/>
          <w:sz w:val="20"/>
          <w:szCs w:val="20"/>
          <w:lang w:val="en-US"/>
        </w:rPr>
        <w:br/>
        <w:t xml:space="preserve">16. Morgenstern KE, </w:t>
      </w:r>
      <w:proofErr w:type="spellStart"/>
      <w:r w:rsidRPr="00457005">
        <w:rPr>
          <w:rFonts w:ascii="Verdana" w:hAnsi="Verdana"/>
          <w:sz w:val="20"/>
          <w:szCs w:val="20"/>
          <w:lang w:val="en-US"/>
        </w:rPr>
        <w:t>Evanchan</w:t>
      </w:r>
      <w:proofErr w:type="spellEnd"/>
      <w:r w:rsidRPr="00457005">
        <w:rPr>
          <w:rFonts w:ascii="Verdana" w:hAnsi="Verdana"/>
          <w:sz w:val="20"/>
          <w:szCs w:val="20"/>
          <w:lang w:val="en-US"/>
        </w:rPr>
        <w:t xml:space="preserve"> J, Foster JA, Cahill KV, Burns JA, </w:t>
      </w:r>
      <w:proofErr w:type="spellStart"/>
      <w:r w:rsidRPr="00457005">
        <w:rPr>
          <w:rFonts w:ascii="Verdana" w:hAnsi="Verdana"/>
          <w:sz w:val="20"/>
          <w:szCs w:val="20"/>
          <w:lang w:val="en-US"/>
        </w:rPr>
        <w:t>Holck</w:t>
      </w:r>
      <w:proofErr w:type="spellEnd"/>
      <w:r w:rsidRPr="00457005">
        <w:rPr>
          <w:rFonts w:ascii="Verdana" w:hAnsi="Verdana"/>
          <w:sz w:val="20"/>
          <w:szCs w:val="20"/>
          <w:lang w:val="en-US"/>
        </w:rPr>
        <w:t xml:space="preserve"> DE, et al. </w:t>
      </w:r>
      <w:proofErr w:type="spellStart"/>
      <w:r w:rsidRPr="00457005">
        <w:rPr>
          <w:rFonts w:ascii="Verdana" w:hAnsi="Verdana"/>
          <w:sz w:val="20"/>
          <w:szCs w:val="20"/>
          <w:lang w:val="en-US"/>
        </w:rPr>
        <w:t>Botulinum</w:t>
      </w:r>
      <w:proofErr w:type="spellEnd"/>
      <w:r w:rsidRPr="00457005">
        <w:rPr>
          <w:rFonts w:ascii="Verdana" w:hAnsi="Verdana"/>
          <w:sz w:val="20"/>
          <w:szCs w:val="20"/>
          <w:lang w:val="en-US"/>
        </w:rPr>
        <w:t xml:space="preserve"> toxin type a for </w:t>
      </w:r>
      <w:proofErr w:type="spellStart"/>
      <w:r w:rsidRPr="00457005">
        <w:rPr>
          <w:rFonts w:ascii="Verdana" w:hAnsi="Verdana"/>
          <w:sz w:val="20"/>
          <w:szCs w:val="20"/>
          <w:lang w:val="en-US"/>
        </w:rPr>
        <w:t>dysthyroid</w:t>
      </w:r>
      <w:proofErr w:type="spellEnd"/>
      <w:r w:rsidRPr="00457005">
        <w:rPr>
          <w:rFonts w:ascii="Verdana" w:hAnsi="Verdana"/>
          <w:sz w:val="20"/>
          <w:szCs w:val="20"/>
          <w:lang w:val="en-US"/>
        </w:rPr>
        <w:t xml:space="preserve"> upper eyelid retraction. </w:t>
      </w:r>
      <w:proofErr w:type="spellStart"/>
      <w:r w:rsidRPr="00457005">
        <w:rPr>
          <w:rFonts w:ascii="Verdana" w:hAnsi="Verdana"/>
          <w:sz w:val="20"/>
          <w:szCs w:val="20"/>
          <w:lang w:val="en-US"/>
        </w:rPr>
        <w:t>Ophthalmol</w:t>
      </w:r>
      <w:proofErr w:type="spellEnd"/>
      <w:r w:rsidRPr="00457005">
        <w:rPr>
          <w:rFonts w:ascii="Verdana" w:hAnsi="Verdana"/>
          <w:sz w:val="20"/>
          <w:szCs w:val="20"/>
          <w:lang w:val="en-US"/>
        </w:rPr>
        <w:t xml:space="preserve"> </w:t>
      </w:r>
      <w:proofErr w:type="spellStart"/>
      <w:r w:rsidRPr="00457005">
        <w:rPr>
          <w:rFonts w:ascii="Verdana" w:hAnsi="Verdana"/>
          <w:sz w:val="20"/>
          <w:szCs w:val="20"/>
          <w:lang w:val="en-US"/>
        </w:rPr>
        <w:t>Plast</w:t>
      </w:r>
      <w:proofErr w:type="spellEnd"/>
      <w:r w:rsidRPr="00457005">
        <w:rPr>
          <w:rFonts w:ascii="Verdana" w:hAnsi="Verdana"/>
          <w:sz w:val="20"/>
          <w:szCs w:val="20"/>
          <w:lang w:val="en-US"/>
        </w:rPr>
        <w:t xml:space="preserve"> </w:t>
      </w:r>
      <w:proofErr w:type="spellStart"/>
      <w:r w:rsidRPr="00457005">
        <w:rPr>
          <w:rFonts w:ascii="Verdana" w:hAnsi="Verdana"/>
          <w:sz w:val="20"/>
          <w:szCs w:val="20"/>
          <w:lang w:val="en-US"/>
        </w:rPr>
        <w:t>Reconstr</w:t>
      </w:r>
      <w:proofErr w:type="spellEnd"/>
      <w:r w:rsidRPr="00457005">
        <w:rPr>
          <w:rFonts w:ascii="Verdana" w:hAnsi="Verdana"/>
          <w:sz w:val="20"/>
          <w:szCs w:val="20"/>
          <w:lang w:val="en-US"/>
        </w:rPr>
        <w:t xml:space="preserve"> Surg. 2004:181-5. </w:t>
      </w:r>
      <w:r w:rsidRPr="00457005">
        <w:rPr>
          <w:rFonts w:ascii="Verdana" w:hAnsi="Verdana"/>
          <w:sz w:val="20"/>
          <w:szCs w:val="20"/>
          <w:lang w:val="en-US"/>
        </w:rPr>
        <w:br/>
      </w:r>
      <w:r w:rsidRPr="00457005">
        <w:rPr>
          <w:rFonts w:ascii="Verdana" w:hAnsi="Verdana"/>
          <w:sz w:val="20"/>
          <w:szCs w:val="20"/>
          <w:lang w:val="en-US"/>
        </w:rPr>
        <w:br/>
        <w:t xml:space="preserve">17. </w:t>
      </w:r>
      <w:proofErr w:type="spellStart"/>
      <w:r w:rsidRPr="00457005">
        <w:rPr>
          <w:rFonts w:ascii="Verdana" w:hAnsi="Verdana"/>
          <w:sz w:val="20"/>
          <w:szCs w:val="20"/>
          <w:lang w:val="en-US"/>
        </w:rPr>
        <w:t>Träisk</w:t>
      </w:r>
      <w:proofErr w:type="spellEnd"/>
      <w:r w:rsidRPr="00457005">
        <w:rPr>
          <w:rFonts w:ascii="Verdana" w:hAnsi="Verdana"/>
          <w:sz w:val="20"/>
          <w:szCs w:val="20"/>
          <w:lang w:val="en-US"/>
        </w:rPr>
        <w:t xml:space="preserve"> F, </w:t>
      </w:r>
      <w:proofErr w:type="spellStart"/>
      <w:r w:rsidRPr="00457005">
        <w:rPr>
          <w:rFonts w:ascii="Verdana" w:hAnsi="Verdana"/>
          <w:sz w:val="20"/>
          <w:szCs w:val="20"/>
          <w:lang w:val="en-US"/>
        </w:rPr>
        <w:t>Tallstedt</w:t>
      </w:r>
      <w:proofErr w:type="spellEnd"/>
      <w:r w:rsidRPr="00457005">
        <w:rPr>
          <w:rFonts w:ascii="Verdana" w:hAnsi="Verdana"/>
          <w:sz w:val="20"/>
          <w:szCs w:val="20"/>
          <w:lang w:val="en-US"/>
        </w:rPr>
        <w:t xml:space="preserve"> L. Thyroid associated </w:t>
      </w:r>
      <w:proofErr w:type="spellStart"/>
      <w:r w:rsidRPr="00457005">
        <w:rPr>
          <w:rFonts w:ascii="Verdana" w:hAnsi="Verdana"/>
          <w:sz w:val="20"/>
          <w:szCs w:val="20"/>
          <w:lang w:val="en-US"/>
        </w:rPr>
        <w:t>ophthalmopathy</w:t>
      </w:r>
      <w:proofErr w:type="spellEnd"/>
      <w:r w:rsidRPr="00457005">
        <w:rPr>
          <w:rFonts w:ascii="Verdana" w:hAnsi="Verdana"/>
          <w:sz w:val="20"/>
          <w:szCs w:val="20"/>
          <w:lang w:val="en-US"/>
        </w:rPr>
        <w:t xml:space="preserve">: </w:t>
      </w:r>
      <w:proofErr w:type="spellStart"/>
      <w:r w:rsidRPr="00457005">
        <w:rPr>
          <w:rFonts w:ascii="Verdana" w:hAnsi="Verdana"/>
          <w:sz w:val="20"/>
          <w:szCs w:val="20"/>
          <w:lang w:val="en-US"/>
        </w:rPr>
        <w:t>botulinum</w:t>
      </w:r>
      <w:proofErr w:type="spellEnd"/>
      <w:r w:rsidRPr="00457005">
        <w:rPr>
          <w:rFonts w:ascii="Verdana" w:hAnsi="Verdana"/>
          <w:sz w:val="20"/>
          <w:szCs w:val="20"/>
          <w:lang w:val="en-US"/>
        </w:rPr>
        <w:t xml:space="preserve"> toxin A in the treatment of upper eyelid retraction. </w:t>
      </w:r>
      <w:proofErr w:type="gramStart"/>
      <w:r w:rsidRPr="00457005">
        <w:rPr>
          <w:rFonts w:ascii="Verdana" w:hAnsi="Verdana"/>
          <w:sz w:val="20"/>
          <w:szCs w:val="20"/>
          <w:lang w:val="en-US"/>
        </w:rPr>
        <w:t>A pilot study.</w:t>
      </w:r>
      <w:proofErr w:type="gramEnd"/>
      <w:r w:rsidRPr="00457005">
        <w:rPr>
          <w:rFonts w:ascii="Verdana" w:hAnsi="Verdana"/>
          <w:sz w:val="20"/>
          <w:szCs w:val="20"/>
          <w:lang w:val="en-US"/>
        </w:rPr>
        <w:t xml:space="preserve"> </w:t>
      </w:r>
      <w:proofErr w:type="spellStart"/>
      <w:r w:rsidRPr="00457005">
        <w:rPr>
          <w:rFonts w:ascii="Verdana" w:hAnsi="Verdana"/>
          <w:sz w:val="20"/>
          <w:szCs w:val="20"/>
          <w:lang w:val="en-US"/>
        </w:rPr>
        <w:t>Acta</w:t>
      </w:r>
      <w:proofErr w:type="spellEnd"/>
      <w:r w:rsidRPr="00457005">
        <w:rPr>
          <w:rFonts w:ascii="Verdana" w:hAnsi="Verdana"/>
          <w:sz w:val="20"/>
          <w:szCs w:val="20"/>
          <w:lang w:val="en-US"/>
        </w:rPr>
        <w:t xml:space="preserve"> </w:t>
      </w:r>
      <w:proofErr w:type="spellStart"/>
      <w:r w:rsidRPr="00457005">
        <w:rPr>
          <w:rFonts w:ascii="Verdana" w:hAnsi="Verdana"/>
          <w:sz w:val="20"/>
          <w:szCs w:val="20"/>
          <w:lang w:val="en-US"/>
        </w:rPr>
        <w:t>Ophthalmol</w:t>
      </w:r>
      <w:proofErr w:type="spellEnd"/>
      <w:r w:rsidRPr="00457005">
        <w:rPr>
          <w:rFonts w:ascii="Verdana" w:hAnsi="Verdana"/>
          <w:sz w:val="20"/>
          <w:szCs w:val="20"/>
          <w:lang w:val="en-US"/>
        </w:rPr>
        <w:t xml:space="preserve"> </w:t>
      </w:r>
      <w:proofErr w:type="spellStart"/>
      <w:r w:rsidRPr="00457005">
        <w:rPr>
          <w:rFonts w:ascii="Verdana" w:hAnsi="Verdana"/>
          <w:sz w:val="20"/>
          <w:szCs w:val="20"/>
          <w:lang w:val="en-US"/>
        </w:rPr>
        <w:t>Scand</w:t>
      </w:r>
      <w:proofErr w:type="spellEnd"/>
      <w:r w:rsidRPr="00457005">
        <w:rPr>
          <w:rFonts w:ascii="Verdana" w:hAnsi="Verdana"/>
          <w:sz w:val="20"/>
          <w:szCs w:val="20"/>
          <w:lang w:val="en-US"/>
        </w:rPr>
        <w:t xml:space="preserve"> 2001:585-8. </w:t>
      </w:r>
      <w:r w:rsidRPr="00457005">
        <w:rPr>
          <w:rFonts w:ascii="Verdana" w:hAnsi="Verdana"/>
          <w:sz w:val="20"/>
          <w:szCs w:val="20"/>
          <w:lang w:val="en-US"/>
        </w:rPr>
        <w:br/>
      </w:r>
      <w:r w:rsidRPr="00457005">
        <w:rPr>
          <w:rFonts w:ascii="Verdana" w:hAnsi="Verdana"/>
          <w:sz w:val="20"/>
          <w:szCs w:val="20"/>
          <w:lang w:val="en-US"/>
        </w:rPr>
        <w:br/>
        <w:t xml:space="preserve">18. </w:t>
      </w:r>
      <w:proofErr w:type="spellStart"/>
      <w:r w:rsidRPr="00457005">
        <w:rPr>
          <w:rFonts w:ascii="Verdana" w:hAnsi="Verdana"/>
          <w:sz w:val="20"/>
          <w:szCs w:val="20"/>
          <w:lang w:val="en-US"/>
        </w:rPr>
        <w:t>Kaynak-Hekimhan</w:t>
      </w:r>
      <w:proofErr w:type="spellEnd"/>
      <w:r w:rsidRPr="00457005">
        <w:rPr>
          <w:rFonts w:ascii="Verdana" w:hAnsi="Verdana"/>
          <w:sz w:val="20"/>
          <w:szCs w:val="20"/>
          <w:lang w:val="en-US"/>
        </w:rPr>
        <w:t xml:space="preserve"> P. </w:t>
      </w:r>
      <w:proofErr w:type="spellStart"/>
      <w:r w:rsidRPr="00457005">
        <w:rPr>
          <w:rFonts w:ascii="Verdana" w:hAnsi="Verdana"/>
          <w:sz w:val="20"/>
          <w:szCs w:val="20"/>
          <w:lang w:val="en-US"/>
        </w:rPr>
        <w:t>Noncosmetic</w:t>
      </w:r>
      <w:proofErr w:type="spellEnd"/>
      <w:r w:rsidRPr="00457005">
        <w:rPr>
          <w:rFonts w:ascii="Verdana" w:hAnsi="Verdana"/>
          <w:sz w:val="20"/>
          <w:szCs w:val="20"/>
          <w:lang w:val="en-US"/>
        </w:rPr>
        <w:t xml:space="preserve"> </w:t>
      </w:r>
      <w:proofErr w:type="spellStart"/>
      <w:r w:rsidRPr="00457005">
        <w:rPr>
          <w:rFonts w:ascii="Verdana" w:hAnsi="Verdana"/>
          <w:sz w:val="20"/>
          <w:szCs w:val="20"/>
          <w:lang w:val="en-US"/>
        </w:rPr>
        <w:t>periocular</w:t>
      </w:r>
      <w:proofErr w:type="spellEnd"/>
      <w:r w:rsidRPr="00457005">
        <w:rPr>
          <w:rFonts w:ascii="Verdana" w:hAnsi="Verdana"/>
          <w:sz w:val="20"/>
          <w:szCs w:val="20"/>
          <w:lang w:val="en-US"/>
        </w:rPr>
        <w:t xml:space="preserve"> therapeutic applications of </w:t>
      </w:r>
      <w:proofErr w:type="spellStart"/>
      <w:r w:rsidRPr="00457005">
        <w:rPr>
          <w:rFonts w:ascii="Verdana" w:hAnsi="Verdana"/>
          <w:sz w:val="20"/>
          <w:szCs w:val="20"/>
          <w:lang w:val="en-US"/>
        </w:rPr>
        <w:t>botulinum</w:t>
      </w:r>
      <w:proofErr w:type="spellEnd"/>
      <w:r w:rsidRPr="00457005">
        <w:rPr>
          <w:rFonts w:ascii="Verdana" w:hAnsi="Verdana"/>
          <w:sz w:val="20"/>
          <w:szCs w:val="20"/>
          <w:lang w:val="en-US"/>
        </w:rPr>
        <w:t xml:space="preserve"> toxin. </w:t>
      </w:r>
      <w:proofErr w:type="gramStart"/>
      <w:r w:rsidRPr="00457005">
        <w:rPr>
          <w:rFonts w:ascii="Verdana" w:hAnsi="Verdana"/>
          <w:sz w:val="20"/>
          <w:szCs w:val="20"/>
          <w:lang w:val="en-US"/>
        </w:rPr>
        <w:t xml:space="preserve">Middle East </w:t>
      </w:r>
      <w:proofErr w:type="spellStart"/>
      <w:r w:rsidRPr="00457005">
        <w:rPr>
          <w:rFonts w:ascii="Verdana" w:hAnsi="Verdana"/>
          <w:sz w:val="20"/>
          <w:szCs w:val="20"/>
          <w:lang w:val="en-US"/>
        </w:rPr>
        <w:t>Afr</w:t>
      </w:r>
      <w:proofErr w:type="spellEnd"/>
      <w:r w:rsidRPr="00457005">
        <w:rPr>
          <w:rFonts w:ascii="Verdana" w:hAnsi="Verdana"/>
          <w:sz w:val="20"/>
          <w:szCs w:val="20"/>
          <w:lang w:val="en-US"/>
        </w:rPr>
        <w:t xml:space="preserve"> J </w:t>
      </w:r>
      <w:proofErr w:type="spellStart"/>
      <w:r w:rsidRPr="00457005">
        <w:rPr>
          <w:rFonts w:ascii="Verdana" w:hAnsi="Verdana"/>
          <w:sz w:val="20"/>
          <w:szCs w:val="20"/>
          <w:lang w:val="en-US"/>
        </w:rPr>
        <w:t>Ophthalmol</w:t>
      </w:r>
      <w:proofErr w:type="spellEnd"/>
      <w:r w:rsidRPr="00457005">
        <w:rPr>
          <w:rFonts w:ascii="Verdana" w:hAnsi="Verdana"/>
          <w:sz w:val="20"/>
          <w:szCs w:val="20"/>
          <w:lang w:val="en-US"/>
        </w:rPr>
        <w:t>.</w:t>
      </w:r>
      <w:proofErr w:type="gramEnd"/>
      <w:r w:rsidRPr="00457005">
        <w:rPr>
          <w:rFonts w:ascii="Verdana" w:hAnsi="Verdana"/>
          <w:sz w:val="20"/>
          <w:szCs w:val="20"/>
          <w:lang w:val="en-US"/>
        </w:rPr>
        <w:t xml:space="preserve"> 2010:113-20. </w:t>
      </w:r>
      <w:r w:rsidRPr="00457005">
        <w:rPr>
          <w:rFonts w:ascii="Verdana" w:hAnsi="Verdana"/>
          <w:sz w:val="20"/>
          <w:szCs w:val="20"/>
          <w:lang w:val="en-US"/>
        </w:rPr>
        <w:br/>
      </w:r>
      <w:r w:rsidRPr="00457005">
        <w:rPr>
          <w:rFonts w:ascii="Verdana" w:hAnsi="Verdana"/>
          <w:sz w:val="20"/>
          <w:szCs w:val="20"/>
          <w:lang w:val="en-US"/>
        </w:rPr>
        <w:br/>
        <w:t xml:space="preserve">19. </w:t>
      </w:r>
      <w:proofErr w:type="spellStart"/>
      <w:r w:rsidRPr="00457005">
        <w:rPr>
          <w:rFonts w:ascii="Verdana" w:hAnsi="Verdana"/>
          <w:sz w:val="20"/>
          <w:szCs w:val="20"/>
          <w:lang w:val="en-US"/>
        </w:rPr>
        <w:t>Hornik</w:t>
      </w:r>
      <w:proofErr w:type="spellEnd"/>
      <w:r w:rsidRPr="00457005">
        <w:rPr>
          <w:rFonts w:ascii="Verdana" w:hAnsi="Verdana"/>
          <w:sz w:val="20"/>
          <w:szCs w:val="20"/>
          <w:lang w:val="en-US"/>
        </w:rPr>
        <w:t xml:space="preserve"> A, </w:t>
      </w:r>
      <w:proofErr w:type="spellStart"/>
      <w:r w:rsidRPr="00457005">
        <w:rPr>
          <w:rFonts w:ascii="Verdana" w:hAnsi="Verdana"/>
          <w:sz w:val="20"/>
          <w:szCs w:val="20"/>
          <w:lang w:val="en-US"/>
        </w:rPr>
        <w:t>Gruener</w:t>
      </w:r>
      <w:proofErr w:type="spellEnd"/>
      <w:r w:rsidRPr="00457005">
        <w:rPr>
          <w:rFonts w:ascii="Verdana" w:hAnsi="Verdana"/>
          <w:sz w:val="20"/>
          <w:szCs w:val="20"/>
          <w:lang w:val="en-US"/>
        </w:rPr>
        <w:t xml:space="preserve"> G, Jay W. Adverse reactions from </w:t>
      </w:r>
      <w:proofErr w:type="spellStart"/>
      <w:r w:rsidRPr="00457005">
        <w:rPr>
          <w:rFonts w:ascii="Verdana" w:hAnsi="Verdana"/>
          <w:sz w:val="20"/>
          <w:szCs w:val="20"/>
          <w:lang w:val="en-US"/>
        </w:rPr>
        <w:t>botulinum</w:t>
      </w:r>
      <w:proofErr w:type="spellEnd"/>
      <w:r w:rsidRPr="00457005">
        <w:rPr>
          <w:rFonts w:ascii="Verdana" w:hAnsi="Verdana"/>
          <w:sz w:val="20"/>
          <w:szCs w:val="20"/>
          <w:lang w:val="en-US"/>
        </w:rPr>
        <w:t xml:space="preserve"> toxin administration. </w:t>
      </w:r>
      <w:proofErr w:type="spellStart"/>
      <w:r>
        <w:rPr>
          <w:rFonts w:ascii="Verdana" w:hAnsi="Verdana"/>
          <w:sz w:val="20"/>
          <w:szCs w:val="20"/>
        </w:rPr>
        <w:t>Neuro-Ophthalmol</w:t>
      </w:r>
      <w:proofErr w:type="spellEnd"/>
      <w:r>
        <w:rPr>
          <w:rFonts w:ascii="Verdana" w:hAnsi="Verdana"/>
          <w:sz w:val="20"/>
          <w:szCs w:val="20"/>
        </w:rPr>
        <w:t xml:space="preserve">. 2010:6-13. </w:t>
      </w:r>
      <w:r>
        <w:rPr>
          <w:rFonts w:ascii="Verdana" w:hAnsi="Verdana"/>
          <w:sz w:val="20"/>
          <w:szCs w:val="20"/>
        </w:rPr>
        <w:br/>
      </w:r>
      <w:r>
        <w:rPr>
          <w:rFonts w:ascii="Verdana" w:hAnsi="Verdana"/>
          <w:sz w:val="20"/>
          <w:szCs w:val="20"/>
        </w:rPr>
        <w:br/>
      </w:r>
    </w:p>
    <w:p w:rsidR="00457005" w:rsidRDefault="00457005" w:rsidP="00457005">
      <w:pPr>
        <w:pStyle w:val="NormalWeb"/>
      </w:pPr>
      <w:r>
        <w:t> </w:t>
      </w:r>
    </w:p>
    <w:p w:rsidR="00457005" w:rsidRDefault="00457005" w:rsidP="00457005">
      <w:pPr>
        <w:pStyle w:val="NormalWeb"/>
      </w:pPr>
      <w:r>
        <w:rPr>
          <w:rFonts w:ascii="Verdana" w:hAnsi="Verdana"/>
          <w:sz w:val="20"/>
          <w:szCs w:val="20"/>
        </w:rPr>
        <w:t>Recibido: 20 de junio de 2016.</w:t>
      </w:r>
      <w:r>
        <w:rPr>
          <w:rFonts w:ascii="Verdana" w:hAnsi="Verdana"/>
          <w:sz w:val="20"/>
          <w:szCs w:val="20"/>
        </w:rPr>
        <w:br/>
        <w:t>Aprobado: 15 de febrero de 2017.</w:t>
      </w:r>
    </w:p>
    <w:p w:rsidR="00457005" w:rsidRDefault="00457005" w:rsidP="00457005">
      <w:pPr>
        <w:pStyle w:val="NormalWeb"/>
      </w:pPr>
      <w:r>
        <w:t xml:space="preserve">  </w:t>
      </w:r>
    </w:p>
    <w:p w:rsidR="00457005" w:rsidRDefault="00457005" w:rsidP="00457005">
      <w:pPr>
        <w:pStyle w:val="NormalWeb"/>
      </w:pPr>
    </w:p>
    <w:sectPr w:rsidR="004570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B01ED"/>
    <w:multiLevelType w:val="multilevel"/>
    <w:tmpl w:val="154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FC781A"/>
    <w:multiLevelType w:val="multilevel"/>
    <w:tmpl w:val="7F22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FD476E"/>
    <w:multiLevelType w:val="multilevel"/>
    <w:tmpl w:val="325E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05"/>
    <w:rsid w:val="0024367D"/>
    <w:rsid w:val="00457005"/>
    <w:rsid w:val="007D0BA0"/>
    <w:rsid w:val="00FE2A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005"/>
    <w:rPr>
      <w:rFonts w:ascii="Tahoma" w:hAnsi="Tahoma" w:cs="Tahoma"/>
      <w:sz w:val="16"/>
      <w:szCs w:val="16"/>
    </w:rPr>
  </w:style>
  <w:style w:type="paragraph" w:styleId="NormalWeb">
    <w:name w:val="Normal (Web)"/>
    <w:basedOn w:val="Normal"/>
    <w:uiPriority w:val="99"/>
    <w:unhideWhenUsed/>
    <w:rsid w:val="004570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semiHidden/>
    <w:unhideWhenUsed/>
    <w:rsid w:val="004570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005"/>
    <w:rPr>
      <w:rFonts w:ascii="Tahoma" w:hAnsi="Tahoma" w:cs="Tahoma"/>
      <w:sz w:val="16"/>
      <w:szCs w:val="16"/>
    </w:rPr>
  </w:style>
  <w:style w:type="paragraph" w:styleId="NormalWeb">
    <w:name w:val="Normal (Web)"/>
    <w:basedOn w:val="Normal"/>
    <w:uiPriority w:val="99"/>
    <w:unhideWhenUsed/>
    <w:rsid w:val="004570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semiHidden/>
    <w:unhideWhenUsed/>
    <w:rsid w:val="00457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8407">
      <w:bodyDiv w:val="1"/>
      <w:marLeft w:val="0"/>
      <w:marRight w:val="0"/>
      <w:marTop w:val="0"/>
      <w:marBottom w:val="0"/>
      <w:divBdr>
        <w:top w:val="none" w:sz="0" w:space="0" w:color="auto"/>
        <w:left w:val="none" w:sz="0" w:space="0" w:color="auto"/>
        <w:bottom w:val="none" w:sz="0" w:space="0" w:color="auto"/>
        <w:right w:val="none" w:sz="0" w:space="0" w:color="auto"/>
      </w:divBdr>
    </w:div>
    <w:div w:id="369846474">
      <w:bodyDiv w:val="1"/>
      <w:marLeft w:val="0"/>
      <w:marRight w:val="0"/>
      <w:marTop w:val="0"/>
      <w:marBottom w:val="0"/>
      <w:divBdr>
        <w:top w:val="none" w:sz="0" w:space="0" w:color="auto"/>
        <w:left w:val="none" w:sz="0" w:space="0" w:color="auto"/>
        <w:bottom w:val="none" w:sz="0" w:space="0" w:color="auto"/>
        <w:right w:val="none" w:sz="0" w:space="0" w:color="auto"/>
      </w:divBdr>
      <w:divsChild>
        <w:div w:id="1064337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79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737088">
      <w:bodyDiv w:val="1"/>
      <w:marLeft w:val="0"/>
      <w:marRight w:val="0"/>
      <w:marTop w:val="0"/>
      <w:marBottom w:val="0"/>
      <w:divBdr>
        <w:top w:val="none" w:sz="0" w:space="0" w:color="auto"/>
        <w:left w:val="none" w:sz="0" w:space="0" w:color="auto"/>
        <w:bottom w:val="none" w:sz="0" w:space="0" w:color="auto"/>
        <w:right w:val="none" w:sz="0" w:space="0" w:color="auto"/>
      </w:divBdr>
      <w:divsChild>
        <w:div w:id="1678457914">
          <w:marLeft w:val="0"/>
          <w:marRight w:val="0"/>
          <w:marTop w:val="0"/>
          <w:marBottom w:val="0"/>
          <w:divBdr>
            <w:top w:val="none" w:sz="0" w:space="0" w:color="auto"/>
            <w:left w:val="none" w:sz="0" w:space="0" w:color="auto"/>
            <w:bottom w:val="none" w:sz="0" w:space="0" w:color="auto"/>
            <w:right w:val="none" w:sz="0" w:space="0" w:color="auto"/>
          </w:divBdr>
        </w:div>
      </w:divsChild>
    </w:div>
    <w:div w:id="1065760867">
      <w:bodyDiv w:val="1"/>
      <w:marLeft w:val="0"/>
      <w:marRight w:val="0"/>
      <w:marTop w:val="0"/>
      <w:marBottom w:val="0"/>
      <w:divBdr>
        <w:top w:val="none" w:sz="0" w:space="0" w:color="auto"/>
        <w:left w:val="none" w:sz="0" w:space="0" w:color="auto"/>
        <w:bottom w:val="none" w:sz="0" w:space="0" w:color="auto"/>
        <w:right w:val="none" w:sz="0" w:space="0" w:color="auto"/>
      </w:divBdr>
    </w:div>
    <w:div w:id="1108816060">
      <w:bodyDiv w:val="1"/>
      <w:marLeft w:val="0"/>
      <w:marRight w:val="0"/>
      <w:marTop w:val="0"/>
      <w:marBottom w:val="0"/>
      <w:divBdr>
        <w:top w:val="none" w:sz="0" w:space="0" w:color="auto"/>
        <w:left w:val="none" w:sz="0" w:space="0" w:color="auto"/>
        <w:bottom w:val="none" w:sz="0" w:space="0" w:color="auto"/>
        <w:right w:val="none" w:sz="0" w:space="0" w:color="auto"/>
      </w:divBdr>
    </w:div>
    <w:div w:id="1200239049">
      <w:bodyDiv w:val="1"/>
      <w:marLeft w:val="0"/>
      <w:marRight w:val="0"/>
      <w:marTop w:val="0"/>
      <w:marBottom w:val="0"/>
      <w:divBdr>
        <w:top w:val="none" w:sz="0" w:space="0" w:color="auto"/>
        <w:left w:val="none" w:sz="0" w:space="0" w:color="auto"/>
        <w:bottom w:val="none" w:sz="0" w:space="0" w:color="auto"/>
        <w:right w:val="none" w:sz="0" w:space="0" w:color="auto"/>
      </w:divBdr>
    </w:div>
    <w:div w:id="1361515279">
      <w:bodyDiv w:val="1"/>
      <w:marLeft w:val="0"/>
      <w:marRight w:val="0"/>
      <w:marTop w:val="0"/>
      <w:marBottom w:val="0"/>
      <w:divBdr>
        <w:top w:val="none" w:sz="0" w:space="0" w:color="auto"/>
        <w:left w:val="none" w:sz="0" w:space="0" w:color="auto"/>
        <w:bottom w:val="none" w:sz="0" w:space="0" w:color="auto"/>
        <w:right w:val="none" w:sz="0" w:space="0" w:color="auto"/>
      </w:divBdr>
      <w:divsChild>
        <w:div w:id="351105397">
          <w:marLeft w:val="0"/>
          <w:marRight w:val="0"/>
          <w:marTop w:val="0"/>
          <w:marBottom w:val="0"/>
          <w:divBdr>
            <w:top w:val="none" w:sz="0" w:space="0" w:color="auto"/>
            <w:left w:val="none" w:sz="0" w:space="0" w:color="auto"/>
            <w:bottom w:val="none" w:sz="0" w:space="0" w:color="auto"/>
            <w:right w:val="none" w:sz="0" w:space="0" w:color="auto"/>
          </w:divBdr>
        </w:div>
      </w:divsChild>
    </w:div>
    <w:div w:id="1495414241">
      <w:bodyDiv w:val="1"/>
      <w:marLeft w:val="0"/>
      <w:marRight w:val="0"/>
      <w:marTop w:val="0"/>
      <w:marBottom w:val="0"/>
      <w:divBdr>
        <w:top w:val="none" w:sz="0" w:space="0" w:color="auto"/>
        <w:left w:val="none" w:sz="0" w:space="0" w:color="auto"/>
        <w:bottom w:val="none" w:sz="0" w:space="0" w:color="auto"/>
        <w:right w:val="none" w:sz="0" w:space="0" w:color="auto"/>
      </w:divBdr>
    </w:div>
    <w:div w:id="1530490528">
      <w:bodyDiv w:val="1"/>
      <w:marLeft w:val="0"/>
      <w:marRight w:val="0"/>
      <w:marTop w:val="0"/>
      <w:marBottom w:val="0"/>
      <w:divBdr>
        <w:top w:val="none" w:sz="0" w:space="0" w:color="auto"/>
        <w:left w:val="none" w:sz="0" w:space="0" w:color="auto"/>
        <w:bottom w:val="none" w:sz="0" w:space="0" w:color="auto"/>
        <w:right w:val="none" w:sz="0" w:space="0" w:color="auto"/>
      </w:divBdr>
      <w:divsChild>
        <w:div w:id="432476267">
          <w:marLeft w:val="0"/>
          <w:marRight w:val="0"/>
          <w:marTop w:val="0"/>
          <w:marBottom w:val="0"/>
          <w:divBdr>
            <w:top w:val="none" w:sz="0" w:space="0" w:color="auto"/>
            <w:left w:val="none" w:sz="0" w:space="0" w:color="auto"/>
            <w:bottom w:val="none" w:sz="0" w:space="0" w:color="auto"/>
            <w:right w:val="none" w:sz="0" w:space="0" w:color="auto"/>
          </w:divBdr>
          <w:divsChild>
            <w:div w:id="1500578443">
              <w:marLeft w:val="0"/>
              <w:marRight w:val="0"/>
              <w:marTop w:val="0"/>
              <w:marBottom w:val="0"/>
              <w:divBdr>
                <w:top w:val="none" w:sz="0" w:space="0" w:color="auto"/>
                <w:left w:val="none" w:sz="0" w:space="0" w:color="auto"/>
                <w:bottom w:val="none" w:sz="0" w:space="0" w:color="auto"/>
                <w:right w:val="none" w:sz="0" w:space="0" w:color="auto"/>
              </w:divBdr>
              <w:divsChild>
                <w:div w:id="2081520501">
                  <w:marLeft w:val="0"/>
                  <w:marRight w:val="0"/>
                  <w:marTop w:val="0"/>
                  <w:marBottom w:val="0"/>
                  <w:divBdr>
                    <w:top w:val="none" w:sz="0" w:space="0" w:color="auto"/>
                    <w:left w:val="none" w:sz="0" w:space="0" w:color="auto"/>
                    <w:bottom w:val="none" w:sz="0" w:space="0" w:color="auto"/>
                    <w:right w:val="none" w:sz="0" w:space="0" w:color="auto"/>
                  </w:divBdr>
                  <w:divsChild>
                    <w:div w:id="1094325976">
                      <w:marLeft w:val="0"/>
                      <w:marRight w:val="0"/>
                      <w:marTop w:val="0"/>
                      <w:marBottom w:val="60"/>
                      <w:divBdr>
                        <w:top w:val="none" w:sz="0" w:space="0" w:color="auto"/>
                        <w:left w:val="none" w:sz="0" w:space="0" w:color="auto"/>
                        <w:bottom w:val="none" w:sz="0" w:space="0" w:color="auto"/>
                        <w:right w:val="none" w:sz="0" w:space="0" w:color="auto"/>
                      </w:divBdr>
                      <w:divsChild>
                        <w:div w:id="8285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70870">
          <w:marLeft w:val="0"/>
          <w:marRight w:val="0"/>
          <w:marTop w:val="0"/>
          <w:marBottom w:val="0"/>
          <w:divBdr>
            <w:top w:val="none" w:sz="0" w:space="0" w:color="auto"/>
            <w:left w:val="none" w:sz="0" w:space="0" w:color="auto"/>
            <w:bottom w:val="none" w:sz="0" w:space="0" w:color="auto"/>
            <w:right w:val="none" w:sz="0" w:space="0" w:color="auto"/>
          </w:divBdr>
          <w:divsChild>
            <w:div w:id="1589390449">
              <w:marLeft w:val="0"/>
              <w:marRight w:val="0"/>
              <w:marTop w:val="0"/>
              <w:marBottom w:val="0"/>
              <w:divBdr>
                <w:top w:val="none" w:sz="0" w:space="0" w:color="auto"/>
                <w:left w:val="none" w:sz="0" w:space="0" w:color="auto"/>
                <w:bottom w:val="none" w:sz="0" w:space="0" w:color="auto"/>
                <w:right w:val="none" w:sz="0" w:space="0" w:color="auto"/>
              </w:divBdr>
            </w:div>
          </w:divsChild>
        </w:div>
        <w:div w:id="1559824218">
          <w:marLeft w:val="0"/>
          <w:marRight w:val="0"/>
          <w:marTop w:val="0"/>
          <w:marBottom w:val="0"/>
          <w:divBdr>
            <w:top w:val="none" w:sz="0" w:space="0" w:color="auto"/>
            <w:left w:val="none" w:sz="0" w:space="0" w:color="auto"/>
            <w:bottom w:val="none" w:sz="0" w:space="0" w:color="auto"/>
            <w:right w:val="none" w:sz="0" w:space="0" w:color="auto"/>
          </w:divBdr>
          <w:divsChild>
            <w:div w:id="705715769">
              <w:marLeft w:val="0"/>
              <w:marRight w:val="0"/>
              <w:marTop w:val="0"/>
              <w:marBottom w:val="0"/>
              <w:divBdr>
                <w:top w:val="none" w:sz="0" w:space="0" w:color="auto"/>
                <w:left w:val="none" w:sz="0" w:space="0" w:color="auto"/>
                <w:bottom w:val="none" w:sz="0" w:space="0" w:color="auto"/>
                <w:right w:val="none" w:sz="0" w:space="0" w:color="auto"/>
              </w:divBdr>
            </w:div>
            <w:div w:id="1347243629">
              <w:marLeft w:val="0"/>
              <w:marRight w:val="0"/>
              <w:marTop w:val="0"/>
              <w:marBottom w:val="0"/>
              <w:divBdr>
                <w:top w:val="none" w:sz="0" w:space="0" w:color="auto"/>
                <w:left w:val="none" w:sz="0" w:space="0" w:color="auto"/>
                <w:bottom w:val="none" w:sz="0" w:space="0" w:color="auto"/>
                <w:right w:val="none" w:sz="0" w:space="0" w:color="auto"/>
              </w:divBdr>
            </w:div>
            <w:div w:id="1434587404">
              <w:marLeft w:val="0"/>
              <w:marRight w:val="0"/>
              <w:marTop w:val="0"/>
              <w:marBottom w:val="0"/>
              <w:divBdr>
                <w:top w:val="none" w:sz="0" w:space="0" w:color="auto"/>
                <w:left w:val="none" w:sz="0" w:space="0" w:color="auto"/>
                <w:bottom w:val="none" w:sz="0" w:space="0" w:color="auto"/>
                <w:right w:val="none" w:sz="0" w:space="0" w:color="auto"/>
              </w:divBdr>
            </w:div>
            <w:div w:id="192690336">
              <w:marLeft w:val="0"/>
              <w:marRight w:val="0"/>
              <w:marTop w:val="0"/>
              <w:marBottom w:val="0"/>
              <w:divBdr>
                <w:top w:val="none" w:sz="0" w:space="0" w:color="auto"/>
                <w:left w:val="none" w:sz="0" w:space="0" w:color="auto"/>
                <w:bottom w:val="none" w:sz="0" w:space="0" w:color="auto"/>
                <w:right w:val="none" w:sz="0" w:space="0" w:color="auto"/>
              </w:divBdr>
            </w:div>
            <w:div w:id="1724449895">
              <w:marLeft w:val="0"/>
              <w:marRight w:val="0"/>
              <w:marTop w:val="0"/>
              <w:marBottom w:val="0"/>
              <w:divBdr>
                <w:top w:val="none" w:sz="0" w:space="0" w:color="auto"/>
                <w:left w:val="none" w:sz="0" w:space="0" w:color="auto"/>
                <w:bottom w:val="none" w:sz="0" w:space="0" w:color="auto"/>
                <w:right w:val="none" w:sz="0" w:space="0" w:color="auto"/>
              </w:divBdr>
            </w:div>
          </w:divsChild>
        </w:div>
        <w:div w:id="824928725">
          <w:marLeft w:val="0"/>
          <w:marRight w:val="0"/>
          <w:marTop w:val="0"/>
          <w:marBottom w:val="0"/>
          <w:divBdr>
            <w:top w:val="none" w:sz="0" w:space="0" w:color="auto"/>
            <w:left w:val="none" w:sz="0" w:space="0" w:color="auto"/>
            <w:bottom w:val="none" w:sz="0" w:space="0" w:color="auto"/>
            <w:right w:val="none" w:sz="0" w:space="0" w:color="auto"/>
          </w:divBdr>
          <w:divsChild>
            <w:div w:id="2124373697">
              <w:marLeft w:val="0"/>
              <w:marRight w:val="0"/>
              <w:marTop w:val="0"/>
              <w:marBottom w:val="0"/>
              <w:divBdr>
                <w:top w:val="none" w:sz="0" w:space="0" w:color="auto"/>
                <w:left w:val="none" w:sz="0" w:space="0" w:color="auto"/>
                <w:bottom w:val="none" w:sz="0" w:space="0" w:color="auto"/>
                <w:right w:val="none" w:sz="0" w:space="0" w:color="auto"/>
              </w:divBdr>
              <w:divsChild>
                <w:div w:id="168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0700">
          <w:marLeft w:val="0"/>
          <w:marRight w:val="0"/>
          <w:marTop w:val="0"/>
          <w:marBottom w:val="0"/>
          <w:divBdr>
            <w:top w:val="none" w:sz="0" w:space="0" w:color="auto"/>
            <w:left w:val="none" w:sz="0" w:space="0" w:color="auto"/>
            <w:bottom w:val="none" w:sz="0" w:space="0" w:color="auto"/>
            <w:right w:val="none" w:sz="0" w:space="0" w:color="auto"/>
          </w:divBdr>
          <w:divsChild>
            <w:div w:id="1636523777">
              <w:marLeft w:val="0"/>
              <w:marRight w:val="0"/>
              <w:marTop w:val="0"/>
              <w:marBottom w:val="0"/>
              <w:divBdr>
                <w:top w:val="none" w:sz="0" w:space="0" w:color="auto"/>
                <w:left w:val="none" w:sz="0" w:space="0" w:color="auto"/>
                <w:bottom w:val="none" w:sz="0" w:space="0" w:color="auto"/>
                <w:right w:val="none" w:sz="0" w:space="0" w:color="auto"/>
              </w:divBdr>
              <w:divsChild>
                <w:div w:id="883445207">
                  <w:marLeft w:val="0"/>
                  <w:marRight w:val="0"/>
                  <w:marTop w:val="0"/>
                  <w:marBottom w:val="0"/>
                  <w:divBdr>
                    <w:top w:val="none" w:sz="0" w:space="0" w:color="auto"/>
                    <w:left w:val="none" w:sz="0" w:space="0" w:color="auto"/>
                    <w:bottom w:val="none" w:sz="0" w:space="0" w:color="auto"/>
                    <w:right w:val="none" w:sz="0" w:space="0" w:color="auto"/>
                  </w:divBdr>
                </w:div>
                <w:div w:id="298535090">
                  <w:marLeft w:val="0"/>
                  <w:marRight w:val="0"/>
                  <w:marTop w:val="0"/>
                  <w:marBottom w:val="0"/>
                  <w:divBdr>
                    <w:top w:val="none" w:sz="0" w:space="0" w:color="auto"/>
                    <w:left w:val="none" w:sz="0" w:space="0" w:color="auto"/>
                    <w:bottom w:val="none" w:sz="0" w:space="0" w:color="auto"/>
                    <w:right w:val="none" w:sz="0" w:space="0" w:color="auto"/>
                  </w:divBdr>
                  <w:divsChild>
                    <w:div w:id="608704474">
                      <w:marLeft w:val="0"/>
                      <w:marRight w:val="0"/>
                      <w:marTop w:val="0"/>
                      <w:marBottom w:val="0"/>
                      <w:divBdr>
                        <w:top w:val="none" w:sz="0" w:space="0" w:color="auto"/>
                        <w:left w:val="none" w:sz="0" w:space="0" w:color="auto"/>
                        <w:bottom w:val="none" w:sz="0" w:space="0" w:color="auto"/>
                        <w:right w:val="none" w:sz="0" w:space="0" w:color="auto"/>
                      </w:divBdr>
                      <w:divsChild>
                        <w:div w:id="241959260">
                          <w:marLeft w:val="0"/>
                          <w:marRight w:val="0"/>
                          <w:marTop w:val="0"/>
                          <w:marBottom w:val="0"/>
                          <w:divBdr>
                            <w:top w:val="none" w:sz="0" w:space="0" w:color="auto"/>
                            <w:left w:val="none" w:sz="0" w:space="0" w:color="auto"/>
                            <w:bottom w:val="none" w:sz="0" w:space="0" w:color="auto"/>
                            <w:right w:val="none" w:sz="0" w:space="0" w:color="auto"/>
                          </w:divBdr>
                          <w:divsChild>
                            <w:div w:id="1835533286">
                              <w:marLeft w:val="0"/>
                              <w:marRight w:val="0"/>
                              <w:marTop w:val="0"/>
                              <w:marBottom w:val="0"/>
                              <w:divBdr>
                                <w:top w:val="none" w:sz="0" w:space="0" w:color="auto"/>
                                <w:left w:val="none" w:sz="0" w:space="0" w:color="auto"/>
                                <w:bottom w:val="none" w:sz="0" w:space="0" w:color="auto"/>
                                <w:right w:val="none" w:sz="0" w:space="0" w:color="auto"/>
                              </w:divBdr>
                            </w:div>
                            <w:div w:id="1793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2104">
                  <w:marLeft w:val="0"/>
                  <w:marRight w:val="0"/>
                  <w:marTop w:val="0"/>
                  <w:marBottom w:val="0"/>
                  <w:divBdr>
                    <w:top w:val="none" w:sz="0" w:space="0" w:color="auto"/>
                    <w:left w:val="none" w:sz="0" w:space="0" w:color="auto"/>
                    <w:bottom w:val="none" w:sz="0" w:space="0" w:color="auto"/>
                    <w:right w:val="none" w:sz="0" w:space="0" w:color="auto"/>
                  </w:divBdr>
                </w:div>
                <w:div w:id="474185682">
                  <w:marLeft w:val="0"/>
                  <w:marRight w:val="0"/>
                  <w:marTop w:val="0"/>
                  <w:marBottom w:val="0"/>
                  <w:divBdr>
                    <w:top w:val="none" w:sz="0" w:space="0" w:color="auto"/>
                    <w:left w:val="none" w:sz="0" w:space="0" w:color="auto"/>
                    <w:bottom w:val="none" w:sz="0" w:space="0" w:color="auto"/>
                    <w:right w:val="none" w:sz="0" w:space="0" w:color="auto"/>
                  </w:divBdr>
                </w:div>
                <w:div w:id="400719353">
                  <w:marLeft w:val="0"/>
                  <w:marRight w:val="0"/>
                  <w:marTop w:val="0"/>
                  <w:marBottom w:val="0"/>
                  <w:divBdr>
                    <w:top w:val="none" w:sz="0" w:space="0" w:color="auto"/>
                    <w:left w:val="none" w:sz="0" w:space="0" w:color="auto"/>
                    <w:bottom w:val="none" w:sz="0" w:space="0" w:color="auto"/>
                    <w:right w:val="none" w:sz="0" w:space="0" w:color="auto"/>
                  </w:divBdr>
                  <w:divsChild>
                    <w:div w:id="10577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30652">
          <w:marLeft w:val="0"/>
          <w:marRight w:val="0"/>
          <w:marTop w:val="0"/>
          <w:marBottom w:val="0"/>
          <w:divBdr>
            <w:top w:val="none" w:sz="0" w:space="0" w:color="auto"/>
            <w:left w:val="none" w:sz="0" w:space="0" w:color="auto"/>
            <w:bottom w:val="none" w:sz="0" w:space="0" w:color="auto"/>
            <w:right w:val="none" w:sz="0" w:space="0" w:color="auto"/>
          </w:divBdr>
          <w:divsChild>
            <w:div w:id="1132166331">
              <w:marLeft w:val="0"/>
              <w:marRight w:val="0"/>
              <w:marTop w:val="0"/>
              <w:marBottom w:val="0"/>
              <w:divBdr>
                <w:top w:val="none" w:sz="0" w:space="0" w:color="auto"/>
                <w:left w:val="none" w:sz="0" w:space="0" w:color="auto"/>
                <w:bottom w:val="none" w:sz="0" w:space="0" w:color="auto"/>
                <w:right w:val="none" w:sz="0" w:space="0" w:color="auto"/>
              </w:divBdr>
            </w:div>
            <w:div w:id="739518924">
              <w:marLeft w:val="0"/>
              <w:marRight w:val="0"/>
              <w:marTop w:val="0"/>
              <w:marBottom w:val="0"/>
              <w:divBdr>
                <w:top w:val="none" w:sz="0" w:space="0" w:color="auto"/>
                <w:left w:val="none" w:sz="0" w:space="0" w:color="auto"/>
                <w:bottom w:val="none" w:sz="0" w:space="0" w:color="auto"/>
                <w:right w:val="none" w:sz="0" w:space="0" w:color="auto"/>
              </w:divBdr>
            </w:div>
            <w:div w:id="2031636199">
              <w:marLeft w:val="0"/>
              <w:marRight w:val="0"/>
              <w:marTop w:val="0"/>
              <w:marBottom w:val="0"/>
              <w:divBdr>
                <w:top w:val="none" w:sz="0" w:space="0" w:color="auto"/>
                <w:left w:val="none" w:sz="0" w:space="0" w:color="auto"/>
                <w:bottom w:val="none" w:sz="0" w:space="0" w:color="auto"/>
                <w:right w:val="none" w:sz="0" w:space="0" w:color="auto"/>
              </w:divBdr>
              <w:divsChild>
                <w:div w:id="3318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89066">
      <w:bodyDiv w:val="1"/>
      <w:marLeft w:val="0"/>
      <w:marRight w:val="0"/>
      <w:marTop w:val="0"/>
      <w:marBottom w:val="0"/>
      <w:divBdr>
        <w:top w:val="none" w:sz="0" w:space="0" w:color="auto"/>
        <w:left w:val="none" w:sz="0" w:space="0" w:color="auto"/>
        <w:bottom w:val="none" w:sz="0" w:space="0" w:color="auto"/>
        <w:right w:val="none" w:sz="0" w:space="0" w:color="auto"/>
      </w:divBdr>
    </w:div>
    <w:div w:id="1726834391">
      <w:bodyDiv w:val="1"/>
      <w:marLeft w:val="0"/>
      <w:marRight w:val="0"/>
      <w:marTop w:val="0"/>
      <w:marBottom w:val="0"/>
      <w:divBdr>
        <w:top w:val="none" w:sz="0" w:space="0" w:color="auto"/>
        <w:left w:val="none" w:sz="0" w:space="0" w:color="auto"/>
        <w:bottom w:val="none" w:sz="0" w:space="0" w:color="auto"/>
        <w:right w:val="none" w:sz="0" w:space="0" w:color="auto"/>
      </w:divBdr>
      <w:divsChild>
        <w:div w:id="676619884">
          <w:marLeft w:val="0"/>
          <w:marRight w:val="0"/>
          <w:marTop w:val="0"/>
          <w:marBottom w:val="0"/>
          <w:divBdr>
            <w:top w:val="none" w:sz="0" w:space="0" w:color="auto"/>
            <w:left w:val="none" w:sz="0" w:space="0" w:color="auto"/>
            <w:bottom w:val="none" w:sz="0" w:space="0" w:color="auto"/>
            <w:right w:val="none" w:sz="0" w:space="0" w:color="auto"/>
          </w:divBdr>
        </w:div>
        <w:div w:id="1683780986">
          <w:marLeft w:val="0"/>
          <w:marRight w:val="0"/>
          <w:marTop w:val="0"/>
          <w:marBottom w:val="0"/>
          <w:divBdr>
            <w:top w:val="none" w:sz="0" w:space="0" w:color="auto"/>
            <w:left w:val="none" w:sz="0" w:space="0" w:color="auto"/>
            <w:bottom w:val="none" w:sz="0" w:space="0" w:color="auto"/>
            <w:right w:val="none" w:sz="0" w:space="0" w:color="auto"/>
          </w:divBdr>
        </w:div>
      </w:divsChild>
    </w:div>
    <w:div w:id="1768695531">
      <w:bodyDiv w:val="1"/>
      <w:marLeft w:val="0"/>
      <w:marRight w:val="0"/>
      <w:marTop w:val="0"/>
      <w:marBottom w:val="0"/>
      <w:divBdr>
        <w:top w:val="none" w:sz="0" w:space="0" w:color="auto"/>
        <w:left w:val="none" w:sz="0" w:space="0" w:color="auto"/>
        <w:bottom w:val="none" w:sz="0" w:space="0" w:color="auto"/>
        <w:right w:val="none" w:sz="0" w:space="0" w:color="auto"/>
      </w:divBdr>
      <w:divsChild>
        <w:div w:id="483395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599975">
      <w:bodyDiv w:val="1"/>
      <w:marLeft w:val="0"/>
      <w:marRight w:val="0"/>
      <w:marTop w:val="0"/>
      <w:marBottom w:val="0"/>
      <w:divBdr>
        <w:top w:val="none" w:sz="0" w:space="0" w:color="auto"/>
        <w:left w:val="none" w:sz="0" w:space="0" w:color="auto"/>
        <w:bottom w:val="none" w:sz="0" w:space="0" w:color="auto"/>
        <w:right w:val="none" w:sz="0" w:space="0" w:color="auto"/>
      </w:divBdr>
      <w:divsChild>
        <w:div w:id="173408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oftalmologia.sld.cu/index.php/oftalmologia/article/view/478/html_285" TargetMode="External"/><Relationship Id="rId13" Type="http://schemas.openxmlformats.org/officeDocument/2006/relationships/image" Target="media/image3.jpeg"/><Relationship Id="rId18" Type="http://schemas.openxmlformats.org/officeDocument/2006/relationships/image" Target="media/image5.gi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revoftalmologia.sld.cu/index.php/oftalmologia/article/view/478/html_285" TargetMode="External"/><Relationship Id="rId12" Type="http://schemas.openxmlformats.org/officeDocument/2006/relationships/hyperlink" Target="http://www.revoftalmologia.sld.cu/index.php/oftalmologia/article/view/478/html_285" TargetMode="External"/><Relationship Id="rId17" Type="http://schemas.openxmlformats.org/officeDocument/2006/relationships/hyperlink" Target="http://www.revoftalmologia.sld.cu/index.php/oftalmologia/article/view/478/html_285" TargetMode="External"/><Relationship Id="rId2" Type="http://schemas.openxmlformats.org/officeDocument/2006/relationships/styles" Target="styles.xml"/><Relationship Id="rId16" Type="http://schemas.openxmlformats.org/officeDocument/2006/relationships/hyperlink" Target="http://www.revoftalmologia.sld.cu/index.php/oftalmologia/article/view/478/html_28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evoftalmologia.sld.cu/index.php/oftalmologia/issue/view/28" TargetMode="Externa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4.gif"/><Relationship Id="rId10" Type="http://schemas.openxmlformats.org/officeDocument/2006/relationships/image" Target="media/image1.gif"/><Relationship Id="rId19"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hyperlink" Target="http://www.revoftalmologia.sld.cu/index.php/oftalmologia/article/view/478/html_285" TargetMode="External"/><Relationship Id="rId14" Type="http://schemas.openxmlformats.org/officeDocument/2006/relationships/hyperlink" Target="http://www.revoftalmologia.sld.cu/index.php/oftalmologia/article/view/478/html_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2873</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Armando</cp:lastModifiedBy>
  <cp:revision>2</cp:revision>
  <dcterms:created xsi:type="dcterms:W3CDTF">2018-02-24T10:37:00Z</dcterms:created>
  <dcterms:modified xsi:type="dcterms:W3CDTF">2018-02-24T10:37:00Z</dcterms:modified>
</cp:coreProperties>
</file>