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AE" w:rsidRDefault="006127AE" w:rsidP="00612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El Software Libre en Cuba</w:t>
      </w:r>
    </w:p>
    <w:p w:rsidR="006127AE" w:rsidRDefault="006127AE" w:rsidP="00612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:rsidR="006127AE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>
        <w:rPr>
          <w:rFonts w:ascii="Cambria-BoldItalic" w:hAnsi="Cambria-BoldItalic" w:cs="Cambria-BoldItalic"/>
          <w:bCs/>
          <w:iCs/>
          <w:sz w:val="28"/>
          <w:szCs w:val="28"/>
        </w:rPr>
        <w:t>S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in duda alguna, el uso del Software Libre es sustentable en Cuba a partir de las ventajas que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tiene con respecto a los del tipo propietario. Por esto, su aplicación como plataforma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informática de trabajo adquiere una relevante significación que puede verse desde 3 ámbitos</w:t>
      </w:r>
      <w:r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diferentes:</w:t>
      </w:r>
    </w:p>
    <w:p w:rsidR="006127AE" w:rsidRPr="006127AE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</w:p>
    <w:p w:rsidR="006127AE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Significado Político</w:t>
      </w:r>
    </w:p>
    <w:p w:rsidR="006127AE" w:rsidRPr="006127AE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:rsidR="006127AE" w:rsidRPr="006127AE" w:rsidRDefault="006127AE" w:rsidP="006127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Desde un primer punto de vista, representa la no utilización de productos informáticos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que demanden la autorización de sus propietarios (licencias) para su explotación. Es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válido recordar que, en el presente Cuba se encuentra a merced de la empresa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norteamericana Microsoft, que tiene la capacidad legal de reclamar a Cuba que no siga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utilizando un sistema operativo de su propiedad, basado en leyes de propiedad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industrial por las cuales también Cuba se rige; esto provocaría una interrupción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inmediata del programa de informatización de la sociedad que como parte de la batalla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de ideas está desarrollando el país, además pudiera implementarse una campaña de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descrédito a la isla, abogando el uso de la piratería informática por parte de las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instituciones estatales cubanas.</w:t>
      </w:r>
    </w:p>
    <w:p w:rsidR="006127AE" w:rsidRPr="006127AE" w:rsidRDefault="006127AE" w:rsidP="006127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Desde un segundo punto de vista, el Software Libre representa la alternativa para los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países pobres, y es por concepción, propiedad social, si se tiene en cuenta que una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vez que comienza a circular rápidamente se encuentra disponible para todos los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interesados sin costo alguno o en su defecto a muy bajo costo.</w:t>
      </w:r>
    </w:p>
    <w:p w:rsidR="006127AE" w:rsidRDefault="006127AE" w:rsidP="006127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En tercer lugar, es desarrollado de forma colectiva y cooperativa, tanto en su creación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como en su desarrollo, cuantitativa y cualitativamente, mostrando su carácter público y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sus objetivos de beneficiar a toda la comunidad.</w:t>
      </w:r>
    </w:p>
    <w:p w:rsidR="006127AE" w:rsidRPr="006127AE" w:rsidRDefault="006127AE" w:rsidP="006127AE">
      <w:pPr>
        <w:pStyle w:val="Prrafode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</w:p>
    <w:p w:rsidR="006127AE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La posibilidad de usar, copiar, estudiar, modificar y redistribuir libremente el software como un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bien social, que brinda esta plataforma, cumple los preceptos enunciados por la sociedad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socialista cubana y está acorde con el tipo de economía socialista, donde el valor social está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por encima de la ganancia.</w:t>
      </w:r>
    </w:p>
    <w:p w:rsidR="006127AE" w:rsidRPr="006127AE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</w:p>
    <w:p w:rsidR="006127AE" w:rsidRPr="006127AE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Significado Económico</w:t>
      </w:r>
    </w:p>
    <w:p w:rsidR="006127AE" w:rsidRPr="006127AE" w:rsidRDefault="006127AE" w:rsidP="00496B4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Su utilización no implica grandes gastos adicionales por concepto de cambio de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plataforma de software, por cuanto es operable en el mismo soporte de hardware con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que cuenta el país.</w:t>
      </w:r>
    </w:p>
    <w:p w:rsidR="006127AE" w:rsidRPr="006127AE" w:rsidRDefault="006127AE" w:rsidP="00E75F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lastRenderedPageBreak/>
        <w:t>La adquisición de cualquiera de sus distribuciones puede hacerse de forma gratuita,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descargándolas directamente de Internet o en algunos casos a muy bajos precios, se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garantiza su explotación con un mínimo de recursos, por cuanto no hay que pagar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absolutamente nada por su utilización (no requiere de licencia de uso, las cuales son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6127AE">
        <w:rPr>
          <w:rFonts w:ascii="Cambria-BoldItalic" w:hAnsi="Cambria-BoldItalic" w:cs="Cambria-BoldItalic"/>
          <w:bCs/>
          <w:iCs/>
          <w:sz w:val="28"/>
          <w:szCs w:val="28"/>
        </w:rPr>
        <w:t>generalmente muy caras), distribución y/o modificación.</w:t>
      </w:r>
    </w:p>
    <w:p w:rsidR="006127AE" w:rsidRDefault="006127AE" w:rsidP="00AB184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El uso del Software Libre desarrollado con Estándares Abiertos, fortalecerá la industria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del software nacional, aumentando y fortaleciendo sus capacidades. Facilitará la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reducción de la brecha social y tecnológica en el menor tiempo y costo posibles. Su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uso en la Institución Pública y en los servicios públicos, facilitará la interoperabilidad de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los sistemas de información del Estado, contribuyendo a dar respuestas rápidas y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oportunas a los ciudadanos, mejorando la gobernabilidad.</w:t>
      </w:r>
    </w:p>
    <w:p w:rsidR="00720A95" w:rsidRPr="00720A95" w:rsidRDefault="00720A95" w:rsidP="00720A9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</w:p>
    <w:p w:rsidR="006127AE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 w:rsidRPr="006127AE"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Significado Tecnológico</w:t>
      </w:r>
    </w:p>
    <w:p w:rsidR="00720A95" w:rsidRPr="006127AE" w:rsidRDefault="00720A95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:rsidR="006127AE" w:rsidRPr="00720A95" w:rsidRDefault="006127AE" w:rsidP="00015EC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Permite su adaptación a los contextos de aplicación, al contar con su código fuente, lo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cual garantiza un mayor </w:t>
      </w:r>
      <w:proofErr w:type="spellStart"/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porciento</w:t>
      </w:r>
      <w:proofErr w:type="spellEnd"/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de efectividad, además de la corrección de sus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errores de programación y la obtención de las actualizaciones y las nuevas versiones.</w:t>
      </w:r>
    </w:p>
    <w:p w:rsidR="006127AE" w:rsidRPr="00720A95" w:rsidRDefault="006127AE" w:rsidP="00526B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Todas las mejoras que se realicen no tienen restricciones. De este modo, cualquier otra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administración, empresa, institución u organismo se puede beneficiar de las mejoras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introducidas.</w:t>
      </w:r>
    </w:p>
    <w:p w:rsidR="006127AE" w:rsidRPr="00720A95" w:rsidRDefault="006127AE" w:rsidP="001D1A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Se fomenta la innovación tecnológica del país. Al disponer del código fuente de la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aplicación, podemos realizar el desarrollo de mejoras, en vez de encargarlas a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empresas de otros países que trabajan con sistemas de licencia propietaria. De este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modo, contribuimos a la formación de profesionales en nuevas tecnologías y al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desarrollo local bajo nuestros propios planes estratégicos.</w:t>
      </w:r>
    </w:p>
    <w:p w:rsidR="006127AE" w:rsidRPr="00720A95" w:rsidRDefault="006127AE" w:rsidP="002052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Proceso de corrección de errores muy dinámico. Los usuarios del programa de todo del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mundo, gracias a que disponen del código fuente del programa, pueden detectar los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posibles errores, corregirlos, y contribuir con sus mejoras.</w:t>
      </w:r>
    </w:p>
    <w:p w:rsidR="006127AE" w:rsidRDefault="006127AE" w:rsidP="00F5782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Más dificultad para introducir código malicioso, espía o de control remoto. Debido a que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el código es revisado por muchos usuarios que pueden detectar posibles puertas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traseras.</w:t>
      </w:r>
    </w:p>
    <w:p w:rsidR="00720A95" w:rsidRPr="00720A95" w:rsidRDefault="00720A95" w:rsidP="00720A9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</w:p>
    <w:p w:rsidR="006127AE" w:rsidRPr="00720A95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lastRenderedPageBreak/>
        <w:t>GNU/LINUX es un ejemplo claro del potencial de las comunidades para la creación del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software. Al mismo tiempo es un software utilizado por los informáticos para realizar su trabajo.</w:t>
      </w:r>
    </w:p>
    <w:p w:rsidR="006127AE" w:rsidRPr="00720A95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Lo que resalta el alcance en la sociedad en general de los programas de código libre. Por el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momento, el impacto está bastante limitado a sectores educativos o puramente a entornos</w:t>
      </w:r>
      <w:r w:rsidR="00720A95"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empresariales tecnológicos. </w:t>
      </w:r>
    </w:p>
    <w:p w:rsidR="006127AE" w:rsidRPr="00720A95" w:rsidRDefault="006127AE" w:rsidP="006127AE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sz w:val="28"/>
          <w:szCs w:val="28"/>
        </w:rPr>
      </w:pP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Cada vez son más las medidas que están tomando numerosas empresas e incluso gobiernos,</w:t>
      </w:r>
      <w:r w:rsid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para favorecer el uso de este tipo de software. Hoy existen empresas que han migrado sus</w:t>
      </w:r>
      <w:r w:rsid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sistemas a GNU/LINUX, y gobiernos que promueven iniciativas para el uso de Software Libre</w:t>
      </w:r>
      <w:r w:rsid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en su institución, lo que aumentará su difusión cada vez más. El Software Libre es un</w:t>
      </w:r>
      <w:r w:rsidR="00720A95">
        <w:rPr>
          <w:rFonts w:ascii="Cambria-BoldItalic" w:hAnsi="Cambria-BoldItalic" w:cs="Cambria-BoldItalic"/>
          <w:bCs/>
          <w:iCs/>
          <w:sz w:val="28"/>
          <w:szCs w:val="28"/>
        </w:rPr>
        <w:t xml:space="preserve"> </w:t>
      </w:r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movimiento destinado a quedarse, y no hay duda de que impactará notablem</w:t>
      </w:r>
      <w:bookmarkStart w:id="0" w:name="_GoBack"/>
      <w:bookmarkEnd w:id="0"/>
      <w:r w:rsidRPr="00720A95">
        <w:rPr>
          <w:rFonts w:ascii="Cambria-BoldItalic" w:hAnsi="Cambria-BoldItalic" w:cs="Cambria-BoldItalic"/>
          <w:bCs/>
          <w:iCs/>
          <w:sz w:val="28"/>
          <w:szCs w:val="28"/>
        </w:rPr>
        <w:t>ente en el sector.</w:t>
      </w:r>
    </w:p>
    <w:sectPr w:rsidR="006127AE" w:rsidRPr="00720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91F19"/>
    <w:multiLevelType w:val="hybridMultilevel"/>
    <w:tmpl w:val="DBC0F9F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146F5"/>
    <w:multiLevelType w:val="hybridMultilevel"/>
    <w:tmpl w:val="D5BC13E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21E4C"/>
    <w:multiLevelType w:val="hybridMultilevel"/>
    <w:tmpl w:val="6AD047C6"/>
    <w:lvl w:ilvl="0" w:tplc="5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CC"/>
    <w:rsid w:val="005530CC"/>
    <w:rsid w:val="006127AE"/>
    <w:rsid w:val="00720A95"/>
    <w:rsid w:val="008002A5"/>
    <w:rsid w:val="00C859B0"/>
    <w:rsid w:val="00C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70C1-D04F-4CAE-8495-33FA416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Sayly Moreira</dc:creator>
  <cp:keywords/>
  <dc:description/>
  <cp:lastModifiedBy>Sayly Moreira</cp:lastModifiedBy>
  <cp:revision>1</cp:revision>
  <dcterms:created xsi:type="dcterms:W3CDTF">2015-03-16T14:16:00Z</dcterms:created>
  <dcterms:modified xsi:type="dcterms:W3CDTF">2015-03-16T15:29:00Z</dcterms:modified>
</cp:coreProperties>
</file>