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TÉCNICO SUPERIOR DE CICLO CORTO ENFERMERÍA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9F1330">
        <w:rPr>
          <w:rFonts w:ascii="Arial" w:hAnsi="Arial" w:cs="Arial"/>
          <w:b/>
          <w:sz w:val="24"/>
          <w:szCs w:val="24"/>
        </w:rPr>
        <w:t>MORFOFISIOLGÍA II</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497203">
        <w:rPr>
          <w:rFonts w:ascii="Arial" w:hAnsi="Arial" w:cs="Arial"/>
          <w:b/>
          <w:sz w:val="24"/>
          <w:szCs w:val="24"/>
        </w:rPr>
        <w:t>Morfofisiología II</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3165EA" w:rsidRPr="003165EA" w:rsidRDefault="003165EA" w:rsidP="003165EA">
      <w:pPr>
        <w:spacing w:after="0" w:line="240" w:lineRule="auto"/>
        <w:jc w:val="both"/>
        <w:rPr>
          <w:rFonts w:ascii="Arial" w:eastAsia="Calibri" w:hAnsi="Arial" w:cs="Arial"/>
          <w:sz w:val="24"/>
          <w:szCs w:val="24"/>
          <w:lang w:val="es-ES" w:eastAsia="en-U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00497203" w:rsidRPr="00497203">
        <w:rPr>
          <w:rFonts w:ascii="Arial" w:eastAsia="Times New Roman" w:hAnsi="Arial" w:cs="Arial"/>
          <w:bCs/>
          <w:color w:val="000000"/>
          <w:sz w:val="24"/>
          <w:szCs w:val="24"/>
        </w:rPr>
        <w:t>Sistema Circulatorio</w:t>
      </w:r>
    </w:p>
    <w:p w:rsidR="00471E1C" w:rsidRPr="00471E1C" w:rsidRDefault="00471E1C" w:rsidP="006E3992">
      <w:pPr>
        <w:pStyle w:val="texto"/>
        <w:spacing w:before="0" w:beforeAutospacing="0" w:after="0" w:afterAutospacing="0"/>
        <w:jc w:val="both"/>
        <w:rPr>
          <w:rFonts w:ascii="Arial" w:hAnsi="Arial" w:cs="Arial"/>
          <w:b/>
          <w:sz w:val="24"/>
          <w:szCs w:val="24"/>
        </w:rPr>
      </w:pPr>
    </w:p>
    <w:p w:rsidR="00AF6C60" w:rsidRPr="00AF6C60" w:rsidRDefault="00471E1C" w:rsidP="00AF6C60">
      <w:pPr>
        <w:jc w:val="both"/>
        <w:rPr>
          <w:rFonts w:ascii="Arial" w:hAnsi="Arial" w:cs="Arial"/>
          <w:b/>
          <w:sz w:val="24"/>
          <w:szCs w:val="24"/>
        </w:rPr>
      </w:pPr>
      <w:r w:rsidRPr="00AF6C60">
        <w:rPr>
          <w:rFonts w:ascii="Arial" w:hAnsi="Arial" w:cs="Arial"/>
          <w:b/>
          <w:sz w:val="24"/>
          <w:szCs w:val="24"/>
        </w:rPr>
        <w:t xml:space="preserve">Objetivos del tema: </w:t>
      </w:r>
    </w:p>
    <w:p w:rsidR="00497203" w:rsidRPr="00497203" w:rsidRDefault="00497203" w:rsidP="00497203">
      <w:pPr>
        <w:widowControl w:val="0"/>
        <w:numPr>
          <w:ilvl w:val="0"/>
          <w:numId w:val="13"/>
        </w:numPr>
        <w:tabs>
          <w:tab w:val="left" w:pos="0"/>
          <w:tab w:val="left" w:pos="284"/>
        </w:tabs>
        <w:autoSpaceDE w:val="0"/>
        <w:autoSpaceDN w:val="0"/>
        <w:adjustRightInd w:val="0"/>
        <w:spacing w:after="0" w:line="240" w:lineRule="auto"/>
        <w:ind w:left="0" w:firstLine="0"/>
        <w:contextualSpacing/>
        <w:jc w:val="both"/>
        <w:rPr>
          <w:rFonts w:ascii="Arial" w:eastAsia="Times New Roman" w:hAnsi="Arial" w:cs="Arial"/>
          <w:color w:val="000000"/>
          <w:sz w:val="24"/>
          <w:szCs w:val="24"/>
          <w:lang w:val="es-ES" w:eastAsia="es-ES"/>
        </w:rPr>
      </w:pPr>
      <w:r w:rsidRPr="00497203">
        <w:rPr>
          <w:rFonts w:ascii="Arial" w:eastAsia="Times New Roman" w:hAnsi="Arial" w:cs="Arial"/>
          <w:color w:val="000000"/>
          <w:sz w:val="24"/>
          <w:szCs w:val="24"/>
          <w:lang w:val="es-ES" w:eastAsia="es-ES"/>
        </w:rPr>
        <w:t xml:space="preserve">Explicar las características morfofisiológicas esenciales del sistema circulatorio, en situaciones normales o problémicas, reales o modeladas, así como su relación con los principales problemas de salud que afectan a la población que sirvan como elementos científicos básicos para la aplicación del proceso de atención de enfermería. </w:t>
      </w:r>
    </w:p>
    <w:p w:rsidR="00AF6C60" w:rsidRPr="00607DA6" w:rsidRDefault="00AF6C60" w:rsidP="00AF6C60">
      <w:pPr>
        <w:pStyle w:val="Prrafodelista"/>
        <w:jc w:val="both"/>
        <w:rPr>
          <w:rFonts w:cs="Arial"/>
          <w:szCs w:val="24"/>
        </w:rPr>
      </w:pPr>
    </w:p>
    <w:p w:rsidR="00497203" w:rsidRDefault="00471E1C" w:rsidP="00AF6C6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497203" w:rsidRPr="00497203" w:rsidRDefault="00497203" w:rsidP="00497203">
      <w:pPr>
        <w:numPr>
          <w:ilvl w:val="0"/>
          <w:numId w:val="12"/>
        </w:numPr>
        <w:tabs>
          <w:tab w:val="left" w:pos="284"/>
        </w:tabs>
        <w:spacing w:after="0" w:line="240" w:lineRule="auto"/>
        <w:ind w:left="0" w:firstLine="0"/>
        <w:jc w:val="both"/>
        <w:rPr>
          <w:rFonts w:ascii="Arial" w:eastAsia="Times New Roman" w:hAnsi="Arial" w:cs="Arial"/>
          <w:sz w:val="24"/>
          <w:szCs w:val="24"/>
          <w:lang w:eastAsia="es-ES"/>
        </w:rPr>
      </w:pPr>
      <w:r w:rsidRPr="00497203">
        <w:rPr>
          <w:rFonts w:ascii="Arial" w:eastAsia="Times New Roman" w:hAnsi="Arial" w:cs="Arial"/>
          <w:b/>
          <w:sz w:val="24"/>
          <w:szCs w:val="24"/>
          <w:lang w:eastAsia="es-ES"/>
        </w:rPr>
        <w:lastRenderedPageBreak/>
        <w:t xml:space="preserve">Organización morfofuncional de las funciones de defensa de la sangre: </w:t>
      </w:r>
      <w:r w:rsidRPr="00497203">
        <w:rPr>
          <w:rFonts w:ascii="Arial" w:eastAsia="Times New Roman" w:hAnsi="Arial" w:cs="Arial"/>
          <w:sz w:val="24"/>
          <w:szCs w:val="24"/>
          <w:lang w:eastAsia="es-ES"/>
        </w:rPr>
        <w:t>Clasificación.</w:t>
      </w:r>
      <w:r w:rsidRPr="00497203">
        <w:rPr>
          <w:rFonts w:ascii="Arial" w:eastAsia="Times New Roman" w:hAnsi="Arial" w:cs="Arial"/>
          <w:b/>
          <w:sz w:val="24"/>
          <w:szCs w:val="24"/>
          <w:lang w:eastAsia="es-ES"/>
        </w:rPr>
        <w:t xml:space="preserve"> </w:t>
      </w:r>
      <w:r w:rsidRPr="00497203">
        <w:rPr>
          <w:rFonts w:ascii="Arial" w:eastAsia="Times New Roman" w:hAnsi="Arial" w:cs="Arial"/>
          <w:sz w:val="24"/>
          <w:szCs w:val="24"/>
          <w:lang w:eastAsia="es-ES"/>
        </w:rPr>
        <w:t xml:space="preserve">Respuesta inflamatoria aguda: concepto y mecanismos. </w:t>
      </w:r>
    </w:p>
    <w:p w:rsidR="00497203" w:rsidRPr="00497203" w:rsidRDefault="00497203" w:rsidP="00497203">
      <w:pPr>
        <w:numPr>
          <w:ilvl w:val="0"/>
          <w:numId w:val="12"/>
        </w:numPr>
        <w:tabs>
          <w:tab w:val="left" w:pos="284"/>
        </w:tabs>
        <w:spacing w:after="0" w:line="240" w:lineRule="auto"/>
        <w:ind w:left="0" w:firstLine="0"/>
        <w:jc w:val="both"/>
        <w:rPr>
          <w:rFonts w:ascii="Arial" w:eastAsia="Times New Roman" w:hAnsi="Arial" w:cs="Arial"/>
          <w:sz w:val="24"/>
          <w:szCs w:val="24"/>
          <w:lang w:eastAsia="es-ES"/>
        </w:rPr>
      </w:pPr>
      <w:r w:rsidRPr="00497203">
        <w:rPr>
          <w:rFonts w:ascii="Arial" w:eastAsia="Times New Roman" w:hAnsi="Arial" w:cs="Arial"/>
          <w:b/>
          <w:sz w:val="24"/>
          <w:szCs w:val="24"/>
          <w:lang w:eastAsia="es-ES"/>
        </w:rPr>
        <w:t>Fagocitosis:</w:t>
      </w:r>
      <w:r w:rsidRPr="00497203">
        <w:rPr>
          <w:rFonts w:ascii="Arial" w:eastAsia="Times New Roman" w:hAnsi="Arial" w:cs="Arial"/>
          <w:sz w:val="24"/>
          <w:szCs w:val="24"/>
          <w:lang w:eastAsia="es-ES"/>
        </w:rPr>
        <w:t xml:space="preserve"> concepto y mecanismo. </w:t>
      </w:r>
    </w:p>
    <w:p w:rsidR="00497203" w:rsidRPr="00497203" w:rsidRDefault="00497203" w:rsidP="00497203">
      <w:pPr>
        <w:numPr>
          <w:ilvl w:val="0"/>
          <w:numId w:val="12"/>
        </w:numPr>
        <w:tabs>
          <w:tab w:val="left" w:pos="284"/>
        </w:tabs>
        <w:spacing w:after="0" w:line="240" w:lineRule="auto"/>
        <w:ind w:left="0" w:firstLine="0"/>
        <w:jc w:val="both"/>
        <w:rPr>
          <w:rFonts w:ascii="Arial" w:eastAsia="Times New Roman" w:hAnsi="Arial" w:cs="Arial"/>
          <w:sz w:val="24"/>
          <w:szCs w:val="24"/>
          <w:lang w:val="es-ES" w:eastAsia="es-ES"/>
        </w:rPr>
      </w:pPr>
      <w:r w:rsidRPr="00497203">
        <w:rPr>
          <w:rFonts w:ascii="Arial" w:eastAsia="Times New Roman" w:hAnsi="Arial" w:cs="Arial"/>
          <w:b/>
          <w:sz w:val="24"/>
          <w:szCs w:val="24"/>
          <w:lang w:eastAsia="es-ES"/>
        </w:rPr>
        <w:t>Respuesta inmune humoral:</w:t>
      </w:r>
      <w:r w:rsidRPr="00497203">
        <w:rPr>
          <w:rFonts w:ascii="Arial" w:eastAsia="Times New Roman" w:hAnsi="Arial" w:cs="Arial"/>
          <w:sz w:val="24"/>
          <w:szCs w:val="24"/>
          <w:lang w:eastAsia="es-ES"/>
        </w:rPr>
        <w:t xml:space="preserve"> Concepto, componentes, características morfofuncionales y mecanismo. Respuesta inmune celular: concepto, componentes, características morfofuncionales y mecanismo. </w:t>
      </w:r>
      <w:r w:rsidRPr="00497203">
        <w:rPr>
          <w:rFonts w:ascii="Arial" w:eastAsia="Times New Roman" w:hAnsi="Arial" w:cs="Arial"/>
          <w:sz w:val="24"/>
          <w:szCs w:val="24"/>
          <w:lang w:val="es-ES" w:eastAsia="es-ES"/>
        </w:rPr>
        <w:t>Alteraciones morfofuncionales de las funciones de defensa.</w:t>
      </w:r>
    </w:p>
    <w:p w:rsidR="00497203" w:rsidRPr="00497203" w:rsidRDefault="00497203" w:rsidP="00497203">
      <w:pPr>
        <w:numPr>
          <w:ilvl w:val="0"/>
          <w:numId w:val="12"/>
        </w:numPr>
        <w:tabs>
          <w:tab w:val="left" w:pos="284"/>
        </w:tabs>
        <w:ind w:left="0" w:firstLine="0"/>
        <w:contextualSpacing/>
        <w:jc w:val="both"/>
        <w:rPr>
          <w:rFonts w:ascii="Arial" w:eastAsia="Times New Roman" w:hAnsi="Arial" w:cs="Arial"/>
          <w:sz w:val="24"/>
          <w:szCs w:val="24"/>
          <w:lang w:val="es-ES" w:eastAsia="es-ES"/>
        </w:rPr>
      </w:pPr>
      <w:r w:rsidRPr="00497203">
        <w:rPr>
          <w:rFonts w:ascii="Arial" w:eastAsia="Times New Roman" w:hAnsi="Arial" w:cs="Arial"/>
          <w:b/>
          <w:sz w:val="24"/>
          <w:szCs w:val="24"/>
          <w:lang w:val="es-ES" w:eastAsia="es-ES"/>
        </w:rPr>
        <w:t>Organización morfofuncional de la hemostasia</w:t>
      </w:r>
      <w:r w:rsidRPr="00497203">
        <w:rPr>
          <w:rFonts w:ascii="Arial" w:eastAsia="Times New Roman" w:hAnsi="Arial" w:cs="Arial"/>
          <w:sz w:val="24"/>
          <w:szCs w:val="24"/>
          <w:lang w:val="es-ES" w:eastAsia="es-ES"/>
        </w:rPr>
        <w:t>: Concepto. Mecanismo general de la hemostasia. Vaso espasmo: tipos, características y mecanismo. Formación del tapón plaquetario: características morfofuncionales de las plaquetas y mecanismo. Formación del tapón de fibrina. Características de los factores de la coagulación y mecanismo básico de la coagulación. Factores y mecanismos que evitan la coagulación intravascular. Alteraciones morfofuncionales de la hemostasia.</w:t>
      </w:r>
    </w:p>
    <w:p w:rsidR="00471E1C" w:rsidRDefault="00471E1C" w:rsidP="00AF6C60">
      <w:pPr>
        <w:spacing w:after="0" w:line="240" w:lineRule="auto"/>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497203">
        <w:rPr>
          <w:rFonts w:ascii="Arial" w:hAnsi="Arial" w:cs="Arial"/>
          <w:sz w:val="24"/>
          <w:szCs w:val="24"/>
        </w:rPr>
        <w:t>de la bibliografía básica orien</w:t>
      </w:r>
      <w:bookmarkStart w:id="0" w:name="_GoBack"/>
      <w:bookmarkEnd w:id="0"/>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497203" w:rsidRPr="00497203" w:rsidRDefault="00E1089F" w:rsidP="00497203">
      <w:pPr>
        <w:widowControl w:val="0"/>
        <w:numPr>
          <w:ilvl w:val="0"/>
          <w:numId w:val="15"/>
        </w:numPr>
        <w:tabs>
          <w:tab w:val="left" w:pos="142"/>
        </w:tabs>
        <w:spacing w:after="0" w:line="240" w:lineRule="auto"/>
        <w:ind w:left="0" w:firstLine="0"/>
        <w:jc w:val="both"/>
        <w:rPr>
          <w:rFonts w:ascii="Arial" w:eastAsia="Times New Roman" w:hAnsi="Arial" w:cs="Arial"/>
          <w:sz w:val="24"/>
          <w:szCs w:val="24"/>
          <w:lang w:val="es-CO" w:eastAsia="es-CO"/>
        </w:rPr>
      </w:pPr>
      <w:r w:rsidRPr="00497203">
        <w:rPr>
          <w:rFonts w:ascii="Arial" w:hAnsi="Arial" w:cs="Arial"/>
          <w:b/>
          <w:bCs/>
          <w:sz w:val="24"/>
          <w:szCs w:val="24"/>
        </w:rPr>
        <w:t>Básica:</w:t>
      </w:r>
      <w:r w:rsidR="0021116F" w:rsidRPr="00497203">
        <w:rPr>
          <w:rFonts w:cs="Arial"/>
          <w:b/>
          <w:bCs/>
          <w:szCs w:val="24"/>
        </w:rPr>
        <w:t xml:space="preserve"> </w:t>
      </w:r>
      <w:r w:rsidR="00497203" w:rsidRPr="00497203">
        <w:rPr>
          <w:rFonts w:ascii="Arial" w:eastAsia="Times New Roman" w:hAnsi="Arial" w:cs="Arial"/>
          <w:sz w:val="24"/>
          <w:szCs w:val="24"/>
          <w:lang w:val="es-CO" w:eastAsia="es-CO"/>
        </w:rPr>
        <w:t>Colectivo de autores. Morfofisiología Tomo III. Editorial Ciencias Médicas, La Habana, Cuba. 2015</w:t>
      </w:r>
    </w:p>
    <w:p w:rsidR="0021116F" w:rsidRPr="00497203" w:rsidRDefault="0021116F" w:rsidP="007F6B5D">
      <w:pPr>
        <w:pStyle w:val="Prrafodelista"/>
        <w:numPr>
          <w:ilvl w:val="0"/>
          <w:numId w:val="9"/>
        </w:numPr>
        <w:jc w:val="both"/>
        <w:rPr>
          <w:rFonts w:cs="Arial"/>
          <w:b/>
          <w:color w:val="FF0000"/>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497203" w:rsidRPr="00497203" w:rsidRDefault="00497203" w:rsidP="00497203">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497203">
        <w:rPr>
          <w:rFonts w:ascii="Arial" w:eastAsia="Calibri" w:hAnsi="Arial" w:cs="Arial"/>
          <w:sz w:val="24"/>
          <w:szCs w:val="24"/>
          <w:lang w:val="es-ES" w:eastAsia="en-US"/>
        </w:rPr>
        <w:t>Interprete los conceptos de antígeno, antigenicidad, inmunogenicidad.</w:t>
      </w:r>
    </w:p>
    <w:p w:rsidR="00497203" w:rsidRPr="00497203" w:rsidRDefault="00497203" w:rsidP="00497203">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497203">
        <w:rPr>
          <w:rFonts w:ascii="Arial" w:eastAsia="Calibri" w:hAnsi="Arial" w:cs="Arial"/>
          <w:sz w:val="24"/>
          <w:szCs w:val="24"/>
          <w:lang w:val="es-ES" w:eastAsia="en-US"/>
        </w:rPr>
        <w:t>Explique lo puntos de contacto entre la respuesta inmunitaria específica y la producción de anticuerpos.</w:t>
      </w:r>
    </w:p>
    <w:p w:rsidR="00497203" w:rsidRPr="00497203" w:rsidRDefault="00497203" w:rsidP="00497203">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497203">
        <w:rPr>
          <w:rFonts w:ascii="Arial" w:eastAsia="Calibri" w:hAnsi="Arial" w:cs="Arial"/>
          <w:sz w:val="24"/>
          <w:szCs w:val="24"/>
          <w:lang w:val="es-ES" w:eastAsia="en-US"/>
        </w:rPr>
        <w:t>Explique las características de la inmunidad innata.</w:t>
      </w:r>
    </w:p>
    <w:p w:rsidR="00497203" w:rsidRPr="00497203" w:rsidRDefault="00497203" w:rsidP="00497203">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497203">
        <w:rPr>
          <w:rFonts w:ascii="Arial" w:eastAsia="Calibri" w:hAnsi="Arial" w:cs="Arial"/>
          <w:sz w:val="24"/>
          <w:szCs w:val="24"/>
          <w:lang w:val="es-ES" w:eastAsia="en-US"/>
        </w:rPr>
        <w:t>Describa los componentes de la Inmunidad innata.</w:t>
      </w:r>
    </w:p>
    <w:p w:rsidR="00497203" w:rsidRPr="00497203" w:rsidRDefault="00497203" w:rsidP="00497203">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497203">
        <w:rPr>
          <w:rFonts w:ascii="Arial" w:eastAsia="Calibri" w:hAnsi="Arial" w:cs="Arial"/>
          <w:sz w:val="24"/>
          <w:szCs w:val="24"/>
          <w:lang w:val="es-ES" w:eastAsia="en-US"/>
        </w:rPr>
        <w:t>Describa las características generales de la inmunidad celular</w:t>
      </w:r>
    </w:p>
    <w:p w:rsidR="00497203" w:rsidRPr="00497203" w:rsidRDefault="00497203" w:rsidP="00497203">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497203">
        <w:rPr>
          <w:rFonts w:ascii="Arial" w:eastAsia="Calibri" w:hAnsi="Arial" w:cs="Arial"/>
          <w:sz w:val="24"/>
          <w:szCs w:val="24"/>
          <w:lang w:val="es-ES" w:eastAsia="en-US"/>
        </w:rPr>
        <w:t xml:space="preserve">Explique el mecanismo </w:t>
      </w:r>
      <w:proofErr w:type="spellStart"/>
      <w:r w:rsidRPr="00497203">
        <w:rPr>
          <w:rFonts w:ascii="Arial" w:eastAsia="Calibri" w:hAnsi="Arial" w:cs="Arial"/>
          <w:sz w:val="24"/>
          <w:szCs w:val="24"/>
          <w:lang w:val="es-ES" w:eastAsia="en-US"/>
        </w:rPr>
        <w:t>morfofisiológico</w:t>
      </w:r>
      <w:proofErr w:type="spellEnd"/>
      <w:r w:rsidRPr="00497203">
        <w:rPr>
          <w:rFonts w:ascii="Arial" w:eastAsia="Calibri" w:hAnsi="Arial" w:cs="Arial"/>
          <w:sz w:val="24"/>
          <w:szCs w:val="24"/>
          <w:lang w:val="es-ES" w:eastAsia="en-US"/>
        </w:rPr>
        <w:t xml:space="preserve"> que favorece la aparición del rubor y el calor en el daño tisular.</w:t>
      </w:r>
    </w:p>
    <w:p w:rsidR="00497203" w:rsidRPr="00497203" w:rsidRDefault="00497203" w:rsidP="00497203">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497203">
        <w:rPr>
          <w:rFonts w:ascii="Arial" w:eastAsia="Calibri" w:hAnsi="Arial" w:cs="Arial"/>
          <w:sz w:val="24"/>
          <w:szCs w:val="24"/>
          <w:lang w:val="es-ES" w:eastAsia="en-US"/>
        </w:rPr>
        <w:t xml:space="preserve">Explique el mecanismo </w:t>
      </w:r>
      <w:proofErr w:type="spellStart"/>
      <w:r w:rsidRPr="00497203">
        <w:rPr>
          <w:rFonts w:ascii="Arial" w:eastAsia="Calibri" w:hAnsi="Arial" w:cs="Arial"/>
          <w:sz w:val="24"/>
          <w:szCs w:val="24"/>
          <w:lang w:val="es-ES" w:eastAsia="en-US"/>
        </w:rPr>
        <w:t>morfofisiológico</w:t>
      </w:r>
      <w:proofErr w:type="spellEnd"/>
      <w:r w:rsidRPr="00497203">
        <w:rPr>
          <w:rFonts w:ascii="Arial" w:eastAsia="Calibri" w:hAnsi="Arial" w:cs="Arial"/>
          <w:sz w:val="24"/>
          <w:szCs w:val="24"/>
          <w:lang w:val="es-ES" w:eastAsia="en-US"/>
        </w:rPr>
        <w:t xml:space="preserve"> que favorece la aparición del edema en el daño tisular.</w:t>
      </w:r>
    </w:p>
    <w:p w:rsidR="00497203" w:rsidRPr="00497203" w:rsidRDefault="00497203" w:rsidP="00497203">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497203">
        <w:rPr>
          <w:rFonts w:ascii="Arial" w:eastAsia="Calibri" w:hAnsi="Arial" w:cs="Arial"/>
          <w:sz w:val="24"/>
          <w:szCs w:val="24"/>
          <w:lang w:val="es-ES" w:eastAsia="en-US"/>
        </w:rPr>
        <w:t xml:space="preserve">Explique el mecanismo </w:t>
      </w:r>
      <w:proofErr w:type="spellStart"/>
      <w:r w:rsidRPr="00497203">
        <w:rPr>
          <w:rFonts w:ascii="Arial" w:eastAsia="Calibri" w:hAnsi="Arial" w:cs="Arial"/>
          <w:sz w:val="24"/>
          <w:szCs w:val="24"/>
          <w:lang w:val="es-ES" w:eastAsia="en-US"/>
        </w:rPr>
        <w:t>morfofisiológico</w:t>
      </w:r>
      <w:proofErr w:type="spellEnd"/>
      <w:r w:rsidRPr="00497203">
        <w:rPr>
          <w:rFonts w:ascii="Arial" w:eastAsia="Calibri" w:hAnsi="Arial" w:cs="Arial"/>
          <w:sz w:val="24"/>
          <w:szCs w:val="24"/>
          <w:lang w:val="es-ES" w:eastAsia="en-US"/>
        </w:rPr>
        <w:t xml:space="preserve"> que favorece la aparición del dolor en el daño tisular</w:t>
      </w:r>
    </w:p>
    <w:p w:rsidR="00497203" w:rsidRPr="00497203" w:rsidRDefault="00497203" w:rsidP="00497203">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497203">
        <w:rPr>
          <w:rFonts w:ascii="Arial" w:eastAsia="Calibri" w:hAnsi="Arial" w:cs="Arial"/>
          <w:sz w:val="24"/>
          <w:szCs w:val="24"/>
          <w:lang w:val="es-ES" w:eastAsia="en-US"/>
        </w:rPr>
        <w:t xml:space="preserve">Explique el mecanismo </w:t>
      </w:r>
      <w:proofErr w:type="spellStart"/>
      <w:r w:rsidRPr="00497203">
        <w:rPr>
          <w:rFonts w:ascii="Arial" w:eastAsia="Calibri" w:hAnsi="Arial" w:cs="Arial"/>
          <w:sz w:val="24"/>
          <w:szCs w:val="24"/>
          <w:lang w:val="es-ES" w:eastAsia="en-US"/>
        </w:rPr>
        <w:t>morfofisiológico</w:t>
      </w:r>
      <w:proofErr w:type="spellEnd"/>
      <w:r w:rsidRPr="00497203">
        <w:rPr>
          <w:rFonts w:ascii="Arial" w:eastAsia="Calibri" w:hAnsi="Arial" w:cs="Arial"/>
          <w:sz w:val="24"/>
          <w:szCs w:val="24"/>
          <w:lang w:val="es-ES" w:eastAsia="en-US"/>
        </w:rPr>
        <w:t xml:space="preserve"> que favorece la aparición de la tumefacción y la impotencia funcional en el daño tisular</w:t>
      </w:r>
    </w:p>
    <w:p w:rsidR="00D844E9" w:rsidRPr="00137867" w:rsidRDefault="00D844E9" w:rsidP="00497203">
      <w:pPr>
        <w:spacing w:after="0" w:line="240" w:lineRule="auto"/>
        <w:jc w:val="both"/>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DA52C55"/>
    <w:multiLevelType w:val="hybridMultilevel"/>
    <w:tmpl w:val="8BA22FD4"/>
    <w:lvl w:ilvl="0" w:tplc="200A0001">
      <w:start w:val="1"/>
      <w:numFmt w:val="bullet"/>
      <w:lvlText w:val=""/>
      <w:lvlJc w:val="left"/>
      <w:pPr>
        <w:ind w:left="1428" w:hanging="360"/>
      </w:pPr>
      <w:rPr>
        <w:rFonts w:ascii="Symbol" w:hAnsi="Symbol" w:hint="default"/>
        <w:b/>
      </w:rPr>
    </w:lvl>
    <w:lvl w:ilvl="1" w:tplc="200A0003">
      <w:start w:val="1"/>
      <w:numFmt w:val="bullet"/>
      <w:lvlText w:val="o"/>
      <w:lvlJc w:val="left"/>
      <w:pPr>
        <w:ind w:left="2148" w:hanging="360"/>
      </w:pPr>
      <w:rPr>
        <w:rFonts w:ascii="Courier New" w:hAnsi="Courier New" w:cs="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cs="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cs="Courier New" w:hint="default"/>
      </w:rPr>
    </w:lvl>
    <w:lvl w:ilvl="8" w:tplc="200A0005">
      <w:start w:val="1"/>
      <w:numFmt w:val="bullet"/>
      <w:lvlText w:val=""/>
      <w:lvlJc w:val="left"/>
      <w:pPr>
        <w:ind w:left="7188" w:hanging="360"/>
      </w:pPr>
      <w:rPr>
        <w:rFonts w:ascii="Wingdings" w:hAnsi="Wingdings" w:hint="default"/>
      </w:rPr>
    </w:lvl>
  </w:abstractNum>
  <w:abstractNum w:abstractNumId="3"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4031545B"/>
    <w:multiLevelType w:val="hybridMultilevel"/>
    <w:tmpl w:val="6E24D5F8"/>
    <w:lvl w:ilvl="0" w:tplc="2556DE72">
      <w:start w:val="1"/>
      <w:numFmt w:val="decimal"/>
      <w:lvlText w:val="%1."/>
      <w:lvlJc w:val="left"/>
      <w:pPr>
        <w:ind w:left="360" w:hanging="360"/>
      </w:pPr>
      <w:rPr>
        <w:b/>
      </w:r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5"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0" w15:restartNumberingAfterBreak="0">
    <w:nsid w:val="5E983E36"/>
    <w:multiLevelType w:val="hybridMultilevel"/>
    <w:tmpl w:val="654CB3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6"/>
  </w:num>
  <w:num w:numId="5">
    <w:abstractNumId w:val="7"/>
  </w:num>
  <w:num w:numId="6">
    <w:abstractNumId w:val="5"/>
  </w:num>
  <w:num w:numId="7">
    <w:abstractNumId w:val="9"/>
  </w:num>
  <w:num w:numId="8">
    <w:abstractNumId w:val="1"/>
  </w:num>
  <w:num w:numId="9">
    <w:abstractNumId w:val="11"/>
  </w:num>
  <w:num w:numId="10">
    <w:abstractNumId w:val="14"/>
  </w:num>
  <w:num w:numId="11">
    <w:abstractNumId w:val="8"/>
  </w:num>
  <w:num w:numId="12">
    <w:abstractNumId w:val="2"/>
    <w:lvlOverride w:ilvl="0"/>
    <w:lvlOverride w:ilvl="1"/>
    <w:lvlOverride w:ilvl="2"/>
    <w:lvlOverride w:ilvl="3"/>
    <w:lvlOverride w:ilvl="4"/>
    <w:lvlOverride w:ilvl="5"/>
    <w:lvlOverride w:ilvl="6"/>
    <w:lvlOverride w:ilvl="7"/>
    <w:lvlOverride w:ilv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497203"/>
    <w:rsid w:val="006E3992"/>
    <w:rsid w:val="00844676"/>
    <w:rsid w:val="009E7F2C"/>
    <w:rsid w:val="009F1330"/>
    <w:rsid w:val="00AF6C60"/>
    <w:rsid w:val="00B32E9F"/>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A769B2"/>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4542">
      <w:bodyDiv w:val="1"/>
      <w:marLeft w:val="0"/>
      <w:marRight w:val="0"/>
      <w:marTop w:val="0"/>
      <w:marBottom w:val="0"/>
      <w:divBdr>
        <w:top w:val="none" w:sz="0" w:space="0" w:color="auto"/>
        <w:left w:val="none" w:sz="0" w:space="0" w:color="auto"/>
        <w:bottom w:val="none" w:sz="0" w:space="0" w:color="auto"/>
        <w:right w:val="none" w:sz="0" w:space="0" w:color="auto"/>
      </w:divBdr>
    </w:div>
    <w:div w:id="1166435246">
      <w:bodyDiv w:val="1"/>
      <w:marLeft w:val="0"/>
      <w:marRight w:val="0"/>
      <w:marTop w:val="0"/>
      <w:marBottom w:val="0"/>
      <w:divBdr>
        <w:top w:val="none" w:sz="0" w:space="0" w:color="auto"/>
        <w:left w:val="none" w:sz="0" w:space="0" w:color="auto"/>
        <w:bottom w:val="none" w:sz="0" w:space="0" w:color="auto"/>
        <w:right w:val="none" w:sz="0" w:space="0" w:color="auto"/>
      </w:divBdr>
    </w:div>
    <w:div w:id="1627349211">
      <w:bodyDiv w:val="1"/>
      <w:marLeft w:val="0"/>
      <w:marRight w:val="0"/>
      <w:marTop w:val="0"/>
      <w:marBottom w:val="0"/>
      <w:divBdr>
        <w:top w:val="none" w:sz="0" w:space="0" w:color="auto"/>
        <w:left w:val="none" w:sz="0" w:space="0" w:color="auto"/>
        <w:bottom w:val="none" w:sz="0" w:space="0" w:color="auto"/>
        <w:right w:val="none" w:sz="0" w:space="0" w:color="auto"/>
      </w:divBdr>
    </w:div>
    <w:div w:id="1698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695</Words>
  <Characters>3826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7</cp:revision>
  <dcterms:created xsi:type="dcterms:W3CDTF">2020-03-24T22:31:00Z</dcterms:created>
  <dcterms:modified xsi:type="dcterms:W3CDTF">2020-03-25T04:02:00Z</dcterms:modified>
</cp:coreProperties>
</file>