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9F1B99">
        <w:rPr>
          <w:rFonts w:ascii="Arial" w:hAnsi="Arial" w:cs="Arial"/>
          <w:b/>
          <w:sz w:val="24"/>
          <w:szCs w:val="24"/>
        </w:rPr>
        <w:t xml:space="preserve"> </w:t>
      </w:r>
      <w:r w:rsidR="00437295">
        <w:rPr>
          <w:rFonts w:ascii="Arial" w:hAnsi="Arial" w:cs="Arial"/>
          <w:b/>
          <w:sz w:val="24"/>
          <w:szCs w:val="24"/>
        </w:rPr>
        <w:t>7</w:t>
      </w:r>
      <w:bookmarkStart w:id="0" w:name="_GoBack"/>
      <w:bookmarkEnd w:id="0"/>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381B57" w:rsidRPr="00381B57" w:rsidRDefault="00FB317D" w:rsidP="00381B57">
      <w:pPr>
        <w:jc w:val="both"/>
        <w:rPr>
          <w:rFonts w:ascii="Arial" w:eastAsia="Times New Roman" w:hAnsi="Arial" w:cs="Arial"/>
          <w:bCs/>
          <w:sz w:val="24"/>
          <w:szCs w:val="24"/>
          <w:lang w:val="es" w:eastAsia="en-US"/>
        </w:rPr>
      </w:pPr>
      <w:r>
        <w:rPr>
          <w:rFonts w:ascii="Arial" w:hAnsi="Arial" w:cs="Arial"/>
          <w:b/>
          <w:sz w:val="24"/>
          <w:szCs w:val="24"/>
        </w:rPr>
        <w:t>Tema 7</w:t>
      </w:r>
      <w:r w:rsidR="00471E1C" w:rsidRPr="00471E1C">
        <w:rPr>
          <w:rFonts w:ascii="Arial" w:hAnsi="Arial" w:cs="Arial"/>
          <w:b/>
          <w:sz w:val="24"/>
          <w:szCs w:val="24"/>
        </w:rPr>
        <w:t>:</w:t>
      </w:r>
      <w:r w:rsidR="0021116F">
        <w:rPr>
          <w:rFonts w:ascii="Arial" w:hAnsi="Arial" w:cs="Arial"/>
          <w:b/>
          <w:sz w:val="24"/>
          <w:szCs w:val="24"/>
        </w:rPr>
        <w:t xml:space="preserve"> </w:t>
      </w:r>
      <w:r w:rsidRPr="00FB317D">
        <w:rPr>
          <w:rFonts w:ascii="Arial" w:eastAsia="Times New Roman" w:hAnsi="Arial" w:cs="Arial"/>
          <w:bCs/>
          <w:sz w:val="24"/>
          <w:szCs w:val="24"/>
          <w:lang w:val="es" w:eastAsia="en-US"/>
        </w:rPr>
        <w:t>Programa de prevención del Cáncer Cérvico Uterino, de Mama, Próstata, Bucal y Colon.</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FB317D" w:rsidRPr="00FB317D" w:rsidRDefault="00FB317D" w:rsidP="00FB317D">
      <w:pPr>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FB317D">
        <w:rPr>
          <w:rFonts w:ascii="Arial" w:eastAsia="Arial" w:hAnsi="Arial" w:cs="Arial"/>
          <w:sz w:val="24"/>
          <w:szCs w:val="24"/>
          <w:lang w:val="es-ES_tradnl" w:eastAsia="es-ES"/>
        </w:rPr>
        <w:t>Describir las generalidades del programa de cáncer Cérvico Uterino, de Mama, Próstata, Bucal y Colon. Funciones del personal de Enfermería</w:t>
      </w:r>
    </w:p>
    <w:p w:rsidR="006307F3" w:rsidRPr="006307F3" w:rsidRDefault="006307F3" w:rsidP="006307F3">
      <w:pPr>
        <w:tabs>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
    <w:p w:rsidR="00471E1C" w:rsidRDefault="00471E1C" w:rsidP="00FB317D">
      <w:pPr>
        <w:widowControl w:val="0"/>
        <w:spacing w:after="0" w:line="240" w:lineRule="auto"/>
        <w:jc w:val="both"/>
        <w:rPr>
          <w:rFonts w:ascii="Arial" w:hAnsi="Arial" w:cs="Arial"/>
          <w:b/>
          <w:sz w:val="24"/>
          <w:szCs w:val="24"/>
        </w:rPr>
      </w:pPr>
      <w:r w:rsidRPr="00471E1C">
        <w:rPr>
          <w:rFonts w:ascii="Arial" w:hAnsi="Arial" w:cs="Arial"/>
          <w:b/>
          <w:sz w:val="24"/>
          <w:szCs w:val="24"/>
        </w:rPr>
        <w:t>Contenido:</w:t>
      </w:r>
      <w:r w:rsidR="00BC002A">
        <w:rPr>
          <w:rFonts w:ascii="Arial" w:hAnsi="Arial" w:cs="Arial"/>
          <w:b/>
          <w:sz w:val="24"/>
          <w:szCs w:val="24"/>
        </w:rPr>
        <w:t xml:space="preserve"> </w:t>
      </w:r>
      <w:r w:rsidR="00FB317D" w:rsidRPr="00FB317D">
        <w:rPr>
          <w:rFonts w:ascii="Arial" w:eastAsia="Times New Roman" w:hAnsi="Arial" w:cs="Arial"/>
          <w:sz w:val="24"/>
          <w:szCs w:val="24"/>
          <w:lang w:val="es" w:eastAsia="en-US"/>
        </w:rPr>
        <w:t>Generalidades del programa de cáncer Cérvico Uterino, de Mama, Próstata, Bucal y Colon. Funciones del personal de Enfermería.</w:t>
      </w:r>
    </w:p>
    <w:p w:rsidR="00FB317D" w:rsidRDefault="00FB317D" w:rsidP="00FB317D">
      <w:pPr>
        <w:widowControl w:val="0"/>
        <w:spacing w:after="0" w:line="240" w:lineRule="auto"/>
        <w:jc w:val="both"/>
        <w:rPr>
          <w:rFonts w:ascii="Arial" w:hAnsi="Arial" w:cs="Arial"/>
          <w:b/>
          <w:sz w:val="24"/>
          <w:szCs w:val="24"/>
        </w:rPr>
      </w:pPr>
    </w:p>
    <w:p w:rsidR="00D844E9" w:rsidRPr="00471E1C" w:rsidRDefault="00BA7A3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lastRenderedPageBreak/>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32FFD" w:rsidRDefault="00632FFD"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r w:rsidRPr="006307F3">
        <w:rPr>
          <w:rFonts w:ascii="Arial" w:eastAsia="Arial" w:hAnsi="Arial" w:cs="Arial"/>
          <w:sz w:val="24"/>
          <w:szCs w:val="24"/>
          <w:lang w:val="es-ES_tradnl" w:eastAsia="es-ES"/>
        </w:rPr>
        <w:t>Apao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Álvarez Sintes,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Apao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5 -Rocabruno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¿Cuáles son los propósitos y objetivos de estos programas?</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¿Cuántos tipos de consulta existen en el control de estos programa y que características tienen?</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 xml:space="preserve">Enumera los aspectos a tener en cuenta en el examen físico de cada programa. </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¿Qué orientaciones darías a la comunidad para evitar las incidencias de estas enfermedades?</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Enumere el universo de dichos programas.</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 xml:space="preserve">Mencione las precauciones que usted como enfermera le daría a un paciente al realizarse la PSA. </w:t>
      </w:r>
    </w:p>
    <w:p w:rsidR="00FB317D" w:rsidRPr="00FB317D" w:rsidRDefault="00FB317D" w:rsidP="00FB317D">
      <w:pPr>
        <w:numPr>
          <w:ilvl w:val="0"/>
          <w:numId w:val="11"/>
        </w:numPr>
        <w:tabs>
          <w:tab w:val="clear" w:pos="720"/>
          <w:tab w:val="num" w:pos="0"/>
          <w:tab w:val="left" w:pos="142"/>
        </w:tabs>
        <w:overflowPunct w:val="0"/>
        <w:autoSpaceDE w:val="0"/>
        <w:autoSpaceDN w:val="0"/>
        <w:adjustRightInd w:val="0"/>
        <w:spacing w:after="0" w:line="240" w:lineRule="auto"/>
        <w:ind w:left="284" w:hanging="284"/>
        <w:jc w:val="both"/>
        <w:textAlignment w:val="baseline"/>
        <w:rPr>
          <w:rFonts w:ascii="Arial" w:eastAsia="Times New Roman" w:hAnsi="Arial" w:cs="Times New Roman"/>
          <w:sz w:val="24"/>
          <w:szCs w:val="24"/>
          <w:lang w:val="es-ES" w:eastAsia="es-ES"/>
        </w:rPr>
      </w:pPr>
      <w:r w:rsidRPr="00FB317D">
        <w:rPr>
          <w:rFonts w:ascii="Arial" w:eastAsia="Times New Roman" w:hAnsi="Arial" w:cs="Times New Roman"/>
          <w:sz w:val="24"/>
          <w:szCs w:val="24"/>
          <w:lang w:val="es-ES" w:eastAsia="es-ES"/>
        </w:rPr>
        <w:t xml:space="preserve">Mencione las precauciones al realizar la citología orgánica.   </w:t>
      </w:r>
    </w:p>
    <w:p w:rsidR="00FB317D" w:rsidRDefault="00FB317D" w:rsidP="00471E1C">
      <w:pPr>
        <w:overflowPunct w:val="0"/>
        <w:autoSpaceDE w:val="0"/>
        <w:autoSpaceDN w:val="0"/>
        <w:adjustRightInd w:val="0"/>
        <w:jc w:val="both"/>
        <w:textAlignment w:val="baseline"/>
        <w:rPr>
          <w:rFonts w:ascii="Arial" w:hAnsi="Arial" w:cs="Arial"/>
          <w:b/>
          <w:color w:val="000000"/>
          <w:sz w:val="24"/>
          <w:szCs w:val="24"/>
        </w:rPr>
      </w:pPr>
    </w:p>
    <w:sectPr w:rsidR="00FB317D"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3E7A01CE"/>
    <w:multiLevelType w:val="hybridMultilevel"/>
    <w:tmpl w:val="BBAC6DF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9"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2"/>
  </w:num>
  <w:num w:numId="3">
    <w:abstractNumId w:val="9"/>
  </w:num>
  <w:num w:numId="4">
    <w:abstractNumId w:val="5"/>
  </w:num>
  <w:num w:numId="5">
    <w:abstractNumId w:val="6"/>
  </w:num>
  <w:num w:numId="6">
    <w:abstractNumId w:val="4"/>
  </w:num>
  <w:num w:numId="7">
    <w:abstractNumId w:val="8"/>
  </w:num>
  <w:num w:numId="8">
    <w:abstractNumId w:val="0"/>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81B57"/>
    <w:rsid w:val="003F22B7"/>
    <w:rsid w:val="00437295"/>
    <w:rsid w:val="00471E1C"/>
    <w:rsid w:val="006307F3"/>
    <w:rsid w:val="00632FFD"/>
    <w:rsid w:val="006E3992"/>
    <w:rsid w:val="00844676"/>
    <w:rsid w:val="009E7F2C"/>
    <w:rsid w:val="009F1B99"/>
    <w:rsid w:val="00B320E6"/>
    <w:rsid w:val="00B32E9F"/>
    <w:rsid w:val="00BA7A30"/>
    <w:rsid w:val="00BC002A"/>
    <w:rsid w:val="00D844E9"/>
    <w:rsid w:val="00E1089F"/>
    <w:rsid w:val="00F31E78"/>
    <w:rsid w:val="00FB3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61D31"/>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12</cp:revision>
  <dcterms:created xsi:type="dcterms:W3CDTF">2020-03-24T22:31:00Z</dcterms:created>
  <dcterms:modified xsi:type="dcterms:W3CDTF">2020-03-25T01:59:00Z</dcterms:modified>
</cp:coreProperties>
</file>