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F6" w:rsidRPr="002A45D8" w:rsidRDefault="00C473F6" w:rsidP="00C473F6">
      <w:pPr>
        <w:jc w:val="both"/>
        <w:rPr>
          <w:rFonts w:ascii="Arial" w:hAnsi="Arial" w:cs="Arial"/>
        </w:rPr>
      </w:pPr>
      <w:r w:rsidRPr="002A45D8">
        <w:rPr>
          <w:rFonts w:ascii="Arial" w:hAnsi="Arial" w:cs="Arial"/>
        </w:rPr>
        <w:t xml:space="preserve">TEMA II </w:t>
      </w:r>
      <w:r>
        <w:rPr>
          <w:rFonts w:ascii="Arial" w:hAnsi="Arial" w:cs="Arial"/>
        </w:rPr>
        <w:t>Métodos subjetivos para el examen refractivo ocular.</w:t>
      </w:r>
    </w:p>
    <w:p w:rsidR="00C473F6" w:rsidRDefault="00C473F6" w:rsidP="00C473F6">
      <w:pPr>
        <w:jc w:val="both"/>
        <w:rPr>
          <w:rFonts w:ascii="Arial" w:hAnsi="Arial" w:cs="Arial"/>
        </w:rPr>
      </w:pPr>
      <w:r w:rsidRPr="002A45D8">
        <w:rPr>
          <w:rFonts w:ascii="Arial" w:hAnsi="Arial" w:cs="Arial"/>
        </w:rPr>
        <w:t>Contenidos:</w:t>
      </w:r>
    </w:p>
    <w:p w:rsidR="00C473F6" w:rsidRDefault="00C473F6" w:rsidP="00C473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Método de </w:t>
      </w:r>
      <w:proofErr w:type="spellStart"/>
      <w:r>
        <w:rPr>
          <w:rFonts w:ascii="Arial" w:hAnsi="Arial" w:cs="Arial"/>
        </w:rPr>
        <w:t>Donders</w:t>
      </w:r>
      <w:proofErr w:type="spellEnd"/>
      <w:r>
        <w:rPr>
          <w:rFonts w:ascii="Arial" w:hAnsi="Arial" w:cs="Arial"/>
        </w:rPr>
        <w:t xml:space="preserve"> o tanteo. Consideraciones generales. Procedimiento técnico.</w:t>
      </w:r>
    </w:p>
    <w:p w:rsidR="00C473F6" w:rsidRDefault="00C473F6" w:rsidP="00C473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Cilindro cruzado Jackson. Procedimiento técnico. Estimación del eje y la potencia del cilindro. </w:t>
      </w:r>
    </w:p>
    <w:p w:rsidR="00C473F6" w:rsidRDefault="00C473F6" w:rsidP="00C473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Test </w:t>
      </w:r>
      <w:proofErr w:type="spellStart"/>
      <w:r>
        <w:rPr>
          <w:rFonts w:ascii="Arial" w:hAnsi="Arial" w:cs="Arial"/>
        </w:rPr>
        <w:t>bicromático</w:t>
      </w:r>
      <w:proofErr w:type="spellEnd"/>
      <w:r>
        <w:rPr>
          <w:rFonts w:ascii="Arial" w:hAnsi="Arial" w:cs="Arial"/>
        </w:rPr>
        <w:t xml:space="preserve">  o </w:t>
      </w:r>
      <w:proofErr w:type="spellStart"/>
      <w:r>
        <w:rPr>
          <w:rFonts w:ascii="Arial" w:hAnsi="Arial" w:cs="Arial"/>
        </w:rPr>
        <w:t>duocromo</w:t>
      </w:r>
      <w:proofErr w:type="spellEnd"/>
      <w:r>
        <w:rPr>
          <w:rFonts w:ascii="Arial" w:hAnsi="Arial" w:cs="Arial"/>
        </w:rPr>
        <w:t xml:space="preserve">. Procedimiento técnico. Interpretación de los resultados. </w:t>
      </w:r>
    </w:p>
    <w:p w:rsidR="00C473F6" w:rsidRDefault="00C473F6" w:rsidP="00C473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Hendidura </w:t>
      </w:r>
      <w:proofErr w:type="spellStart"/>
      <w:r>
        <w:rPr>
          <w:rFonts w:ascii="Arial" w:hAnsi="Arial" w:cs="Arial"/>
        </w:rPr>
        <w:t>estenopeica</w:t>
      </w:r>
      <w:proofErr w:type="spellEnd"/>
      <w:r>
        <w:rPr>
          <w:rFonts w:ascii="Arial" w:hAnsi="Arial" w:cs="Arial"/>
        </w:rPr>
        <w:t xml:space="preserve">. </w:t>
      </w:r>
      <w:r w:rsidRPr="00E926C4">
        <w:rPr>
          <w:rFonts w:ascii="Arial" w:hAnsi="Arial" w:cs="Arial"/>
        </w:rPr>
        <w:t>Procedimiento técnico.</w:t>
      </w:r>
      <w:r>
        <w:rPr>
          <w:rFonts w:ascii="Arial" w:hAnsi="Arial" w:cs="Arial"/>
        </w:rPr>
        <w:t xml:space="preserve"> Técnica de determinación del astigmatismo.</w:t>
      </w:r>
    </w:p>
    <w:p w:rsidR="00C473F6" w:rsidRDefault="00C473F6" w:rsidP="00C473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Neblina, </w:t>
      </w:r>
      <w:proofErr w:type="spellStart"/>
      <w:r>
        <w:rPr>
          <w:rFonts w:ascii="Arial" w:hAnsi="Arial" w:cs="Arial"/>
        </w:rPr>
        <w:t>enturbamiento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miopización</w:t>
      </w:r>
      <w:proofErr w:type="spellEnd"/>
      <w:r>
        <w:rPr>
          <w:rFonts w:ascii="Arial" w:hAnsi="Arial" w:cs="Arial"/>
        </w:rPr>
        <w:t>. Procedimiento técnico.</w:t>
      </w:r>
    </w:p>
    <w:p w:rsidR="00C473F6" w:rsidRPr="00586945" w:rsidRDefault="00C473F6" w:rsidP="00C473F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Test de simulación. Pruebas para ceguera bilateral y unilateral.</w:t>
      </w:r>
    </w:p>
    <w:p w:rsidR="00C473F6" w:rsidRDefault="00C473F6" w:rsidP="00C47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Habilidades</w:t>
      </w:r>
    </w:p>
    <w:p w:rsidR="00C473F6" w:rsidRDefault="00C473F6" w:rsidP="00C473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Explicar el procedimiento técnico para el método de </w:t>
      </w:r>
      <w:proofErr w:type="spellStart"/>
      <w:r>
        <w:rPr>
          <w:rFonts w:ascii="Arial" w:hAnsi="Arial" w:cs="Arial"/>
        </w:rPr>
        <w:t>Donders</w:t>
      </w:r>
      <w:proofErr w:type="spellEnd"/>
      <w:r>
        <w:rPr>
          <w:rFonts w:ascii="Arial" w:hAnsi="Arial" w:cs="Arial"/>
        </w:rPr>
        <w:t xml:space="preserve"> o tanteo.</w:t>
      </w:r>
    </w:p>
    <w:p w:rsidR="00C473F6" w:rsidRDefault="00C473F6" w:rsidP="00C473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el procedimiento técnico para el empleo del cilindro cruzado de Jackson.</w:t>
      </w:r>
    </w:p>
    <w:p w:rsidR="00C473F6" w:rsidRPr="00E11FB2" w:rsidRDefault="00C473F6" w:rsidP="00C473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E11FB2">
        <w:rPr>
          <w:rFonts w:ascii="Arial" w:hAnsi="Arial" w:cs="Arial"/>
        </w:rPr>
        <w:t>Describir las técnicas para estimar el eje y la potencia del cilindro con el uso del cilindro cruzado de Jackson.</w:t>
      </w:r>
    </w:p>
    <w:p w:rsidR="00C473F6" w:rsidRDefault="00C473F6" w:rsidP="00C473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Explicar el procedimiento técnico para el empleo del test </w:t>
      </w:r>
      <w:proofErr w:type="spellStart"/>
      <w:r>
        <w:rPr>
          <w:rFonts w:ascii="Arial" w:hAnsi="Arial" w:cs="Arial"/>
        </w:rPr>
        <w:t>bicromático</w:t>
      </w:r>
      <w:proofErr w:type="spellEnd"/>
      <w:r>
        <w:rPr>
          <w:rFonts w:ascii="Arial" w:hAnsi="Arial" w:cs="Arial"/>
        </w:rPr>
        <w:t xml:space="preserve"> e interpretar los resultados teniendo en cuenta el estado de la refracción presente.</w:t>
      </w:r>
    </w:p>
    <w:p w:rsidR="00C473F6" w:rsidRDefault="00C473F6" w:rsidP="00C473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Explicar el procedimiento técnico para el empleo de la hendidura </w:t>
      </w:r>
      <w:proofErr w:type="spellStart"/>
      <w:r>
        <w:rPr>
          <w:rFonts w:ascii="Arial" w:hAnsi="Arial" w:cs="Arial"/>
        </w:rPr>
        <w:t>estenopeica</w:t>
      </w:r>
      <w:proofErr w:type="spellEnd"/>
      <w:r>
        <w:rPr>
          <w:rFonts w:ascii="Arial" w:hAnsi="Arial" w:cs="Arial"/>
        </w:rPr>
        <w:t>.</w:t>
      </w:r>
    </w:p>
    <w:p w:rsidR="00C473F6" w:rsidRDefault="00C473F6" w:rsidP="00C473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Describir la técnica para   la  determinación del astigmatismo con el empleo de la hendidura </w:t>
      </w:r>
      <w:proofErr w:type="spellStart"/>
      <w:r>
        <w:rPr>
          <w:rFonts w:ascii="Arial" w:hAnsi="Arial" w:cs="Arial"/>
        </w:rPr>
        <w:t>estenopeica</w:t>
      </w:r>
      <w:proofErr w:type="spellEnd"/>
      <w:r>
        <w:rPr>
          <w:rFonts w:ascii="Arial" w:hAnsi="Arial" w:cs="Arial"/>
        </w:rPr>
        <w:t>.</w:t>
      </w:r>
    </w:p>
    <w:p w:rsidR="00C473F6" w:rsidRDefault="00C473F6" w:rsidP="00C473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Explicar el procedimiento técnico para el método de neblina, teniendo en cuenta los valores  de agudeza visual.</w:t>
      </w:r>
    </w:p>
    <w:p w:rsidR="00C473F6" w:rsidRPr="00E11FB2" w:rsidRDefault="00C473F6" w:rsidP="00C473F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Describir las pruebas para detectar simuladores de ceguera bilateral y unilateral.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6063"/>
    <w:multiLevelType w:val="hybridMultilevel"/>
    <w:tmpl w:val="19C03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D4E48"/>
    <w:multiLevelType w:val="hybridMultilevel"/>
    <w:tmpl w:val="E466E12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C473F6"/>
    <w:rsid w:val="00AB34C4"/>
    <w:rsid w:val="00C4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3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2020-04-07T16:31:00Z</dcterms:created>
  <dcterms:modified xsi:type="dcterms:W3CDTF">2020-04-07T16:32:00Z</dcterms:modified>
</cp:coreProperties>
</file>