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D2" w:rsidRPr="006E15A3" w:rsidRDefault="007E48D2" w:rsidP="007E48D2">
      <w:pPr>
        <w:spacing w:after="0" w:line="240" w:lineRule="auto"/>
        <w:jc w:val="center"/>
        <w:rPr>
          <w:rFonts w:ascii="Arial" w:hAnsi="Arial" w:cs="Arial"/>
          <w:b/>
          <w:sz w:val="24"/>
          <w:szCs w:val="24"/>
        </w:rPr>
      </w:pPr>
    </w:p>
    <w:p w:rsidR="007E48D2" w:rsidRPr="006E15A3" w:rsidRDefault="007E48D2" w:rsidP="007E48D2">
      <w:pPr>
        <w:spacing w:after="0" w:line="240" w:lineRule="auto"/>
        <w:jc w:val="center"/>
        <w:rPr>
          <w:rFonts w:ascii="Arial" w:hAnsi="Arial" w:cs="Arial"/>
          <w:b/>
          <w:sz w:val="24"/>
          <w:szCs w:val="24"/>
          <w:lang w:val="es-ES"/>
        </w:rPr>
      </w:pPr>
      <w:r w:rsidRPr="006E15A3">
        <w:rPr>
          <w:rFonts w:ascii="Arial" w:hAnsi="Arial" w:cs="Arial"/>
          <w:b/>
          <w:sz w:val="24"/>
          <w:szCs w:val="24"/>
          <w:lang w:val="es-ES"/>
        </w:rPr>
        <w:t>UNIVERSIDAD DE CIENCIAS MÉDICAS DE LA HABANA</w:t>
      </w:r>
    </w:p>
    <w:p w:rsidR="007E48D2" w:rsidRPr="006E15A3" w:rsidRDefault="007E48D2" w:rsidP="007E48D2">
      <w:pPr>
        <w:spacing w:after="0" w:line="240" w:lineRule="auto"/>
        <w:jc w:val="center"/>
        <w:rPr>
          <w:rFonts w:ascii="Arial" w:hAnsi="Arial" w:cs="Arial"/>
          <w:b/>
          <w:sz w:val="24"/>
          <w:szCs w:val="24"/>
          <w:lang w:val="es-ES"/>
        </w:rPr>
      </w:pPr>
      <w:r w:rsidRPr="006E15A3">
        <w:rPr>
          <w:rFonts w:ascii="Arial" w:hAnsi="Arial" w:cs="Arial"/>
          <w:b/>
          <w:sz w:val="24"/>
          <w:szCs w:val="24"/>
          <w:lang w:val="es-ES"/>
        </w:rPr>
        <w:t>VICERRECTORÍA ACADÉMICA</w:t>
      </w:r>
    </w:p>
    <w:p w:rsidR="007E48D2" w:rsidRPr="006E15A3" w:rsidRDefault="007E48D2" w:rsidP="007E48D2">
      <w:pPr>
        <w:spacing w:after="0" w:line="240" w:lineRule="auto"/>
        <w:jc w:val="center"/>
        <w:rPr>
          <w:rFonts w:ascii="Arial" w:hAnsi="Arial" w:cs="Arial"/>
          <w:b/>
          <w:sz w:val="24"/>
          <w:szCs w:val="24"/>
          <w:lang w:val="es-ES"/>
        </w:rPr>
      </w:pPr>
      <w:r w:rsidRPr="006E15A3">
        <w:rPr>
          <w:rFonts w:ascii="Arial" w:hAnsi="Arial" w:cs="Arial"/>
          <w:b/>
          <w:sz w:val="24"/>
          <w:szCs w:val="24"/>
          <w:lang w:val="es-ES"/>
        </w:rPr>
        <w:t>DIRECCIÓN DE FORMACIÓN DE PROFESIONALES</w:t>
      </w:r>
    </w:p>
    <w:p w:rsidR="007E48D2" w:rsidRPr="006E15A3" w:rsidRDefault="007E48D2" w:rsidP="007E48D2">
      <w:pPr>
        <w:spacing w:after="0" w:line="240" w:lineRule="auto"/>
        <w:jc w:val="center"/>
        <w:rPr>
          <w:rFonts w:ascii="Arial" w:hAnsi="Arial" w:cs="Arial"/>
          <w:b/>
          <w:sz w:val="24"/>
          <w:szCs w:val="24"/>
          <w:lang w:val="es-ES"/>
        </w:rPr>
      </w:pPr>
    </w:p>
    <w:p w:rsidR="007E48D2" w:rsidRPr="006E15A3" w:rsidRDefault="007E48D2" w:rsidP="007E48D2">
      <w:pPr>
        <w:spacing w:after="0" w:line="240" w:lineRule="auto"/>
        <w:jc w:val="center"/>
        <w:rPr>
          <w:rFonts w:ascii="Arial" w:hAnsi="Arial" w:cs="Arial"/>
          <w:b/>
          <w:sz w:val="24"/>
          <w:szCs w:val="24"/>
          <w:lang w:val="es-ES"/>
        </w:rPr>
      </w:pPr>
      <w:r w:rsidRPr="006E15A3">
        <w:rPr>
          <w:rFonts w:ascii="Arial" w:hAnsi="Arial" w:cs="Arial"/>
          <w:b/>
          <w:sz w:val="24"/>
          <w:szCs w:val="24"/>
          <w:lang w:val="es-ES"/>
        </w:rPr>
        <w:t>GUIA DE ESTUDIO INDEPENDIENTE</w:t>
      </w:r>
    </w:p>
    <w:p w:rsidR="006E15A3" w:rsidRPr="006E15A3" w:rsidRDefault="006E15A3" w:rsidP="007E48D2">
      <w:pPr>
        <w:spacing w:after="0" w:line="240" w:lineRule="auto"/>
        <w:rPr>
          <w:rFonts w:ascii="Arial" w:hAnsi="Arial" w:cs="Arial"/>
          <w:b/>
          <w:sz w:val="24"/>
          <w:szCs w:val="24"/>
          <w:lang w:val="es-ES"/>
        </w:rPr>
      </w:pPr>
    </w:p>
    <w:p w:rsidR="007E48D2" w:rsidRPr="006E15A3" w:rsidRDefault="006E15A3" w:rsidP="007E48D2">
      <w:pPr>
        <w:spacing w:after="0" w:line="240" w:lineRule="auto"/>
        <w:rPr>
          <w:rFonts w:ascii="Arial" w:hAnsi="Arial" w:cs="Arial"/>
          <w:b/>
          <w:sz w:val="24"/>
          <w:szCs w:val="24"/>
          <w:lang w:val="es-ES"/>
        </w:rPr>
      </w:pPr>
      <w:r w:rsidRPr="006E15A3">
        <w:rPr>
          <w:rFonts w:ascii="Arial" w:hAnsi="Arial" w:cs="Arial"/>
          <w:b/>
          <w:sz w:val="24"/>
          <w:szCs w:val="24"/>
          <w:lang w:val="es-ES"/>
        </w:rPr>
        <w:t>TSCC NUTRICION Y DIETETICA</w:t>
      </w:r>
    </w:p>
    <w:p w:rsidR="006E15A3" w:rsidRPr="006E15A3" w:rsidRDefault="006E15A3" w:rsidP="007E48D2">
      <w:pPr>
        <w:spacing w:after="0" w:line="240" w:lineRule="auto"/>
        <w:rPr>
          <w:rFonts w:ascii="Arial" w:hAnsi="Arial" w:cs="Arial"/>
          <w:b/>
          <w:sz w:val="24"/>
          <w:szCs w:val="24"/>
          <w:lang w:val="es-ES"/>
        </w:rPr>
      </w:pPr>
      <w:r w:rsidRPr="006E15A3">
        <w:rPr>
          <w:rFonts w:ascii="Arial" w:hAnsi="Arial" w:cs="Arial"/>
          <w:b/>
          <w:sz w:val="24"/>
          <w:szCs w:val="24"/>
          <w:lang w:val="es-ES"/>
        </w:rPr>
        <w:t>2DO AÑO</w:t>
      </w:r>
    </w:p>
    <w:p w:rsidR="006E15A3" w:rsidRPr="006E15A3" w:rsidRDefault="007E48D2" w:rsidP="006E15A3">
      <w:pPr>
        <w:rPr>
          <w:rFonts w:ascii="Arial" w:hAnsi="Arial" w:cs="Arial"/>
          <w:sz w:val="24"/>
          <w:szCs w:val="24"/>
          <w:lang w:val="es-ES"/>
        </w:rPr>
      </w:pPr>
      <w:r w:rsidRPr="006E15A3">
        <w:rPr>
          <w:rFonts w:ascii="Arial" w:hAnsi="Arial" w:cs="Arial"/>
          <w:b/>
          <w:sz w:val="24"/>
          <w:szCs w:val="24"/>
          <w:lang w:val="es-ES"/>
        </w:rPr>
        <w:t>ASIGNATURA:</w:t>
      </w:r>
      <w:r w:rsidR="006E15A3" w:rsidRPr="006E15A3">
        <w:rPr>
          <w:rFonts w:ascii="Arial" w:hAnsi="Arial" w:cs="Arial"/>
          <w:sz w:val="24"/>
          <w:szCs w:val="24"/>
          <w:lang w:val="es-ES"/>
        </w:rPr>
        <w:t xml:space="preserve"> Guía de estudios de Educación Alimentaria y Nutricional. </w:t>
      </w:r>
    </w:p>
    <w:p w:rsidR="007E48D2" w:rsidRPr="006E15A3" w:rsidRDefault="007E48D2" w:rsidP="007E48D2">
      <w:pPr>
        <w:spacing w:after="0" w:line="240" w:lineRule="auto"/>
        <w:rPr>
          <w:rFonts w:ascii="Arial" w:hAnsi="Arial" w:cs="Arial"/>
          <w:sz w:val="24"/>
          <w:szCs w:val="24"/>
          <w:lang w:val="es-ES"/>
        </w:rPr>
      </w:pPr>
    </w:p>
    <w:p w:rsidR="007E48D2" w:rsidRPr="006E15A3" w:rsidRDefault="007E48D2" w:rsidP="007E48D2">
      <w:pPr>
        <w:pStyle w:val="texto"/>
        <w:spacing w:before="0" w:beforeAutospacing="0" w:after="0" w:afterAutospacing="0"/>
        <w:jc w:val="both"/>
        <w:rPr>
          <w:rFonts w:ascii="Arial" w:hAnsi="Arial" w:cs="Arial"/>
          <w:b/>
          <w:sz w:val="24"/>
          <w:szCs w:val="24"/>
        </w:rPr>
      </w:pPr>
      <w:r w:rsidRPr="006E15A3">
        <w:rPr>
          <w:rFonts w:ascii="Arial" w:hAnsi="Arial" w:cs="Arial"/>
          <w:b/>
          <w:sz w:val="24"/>
          <w:szCs w:val="24"/>
        </w:rPr>
        <w:t xml:space="preserve">Estimados estudiantes: </w:t>
      </w:r>
    </w:p>
    <w:p w:rsidR="007E48D2" w:rsidRPr="006E15A3" w:rsidRDefault="007E48D2" w:rsidP="007E48D2">
      <w:pPr>
        <w:pStyle w:val="texto"/>
        <w:spacing w:before="0" w:beforeAutospacing="0" w:after="0" w:afterAutospacing="0" w:line="276" w:lineRule="auto"/>
        <w:jc w:val="both"/>
        <w:rPr>
          <w:rFonts w:ascii="Arial" w:hAnsi="Arial" w:cs="Arial"/>
          <w:sz w:val="24"/>
          <w:szCs w:val="24"/>
        </w:rPr>
      </w:pPr>
      <w:r w:rsidRPr="006E15A3">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Pr="006E15A3">
        <w:rPr>
          <w:rFonts w:ascii="Arial" w:hAnsi="Arial" w:cs="Arial"/>
          <w:b/>
          <w:color w:val="FF0000"/>
          <w:sz w:val="24"/>
          <w:szCs w:val="24"/>
        </w:rPr>
        <w:t>poner nombre de la asignatura</w:t>
      </w:r>
      <w:r w:rsidRPr="006E15A3">
        <w:rPr>
          <w:rFonts w:ascii="Arial" w:hAnsi="Arial" w:cs="Arial"/>
          <w:sz w:val="24"/>
          <w:szCs w:val="24"/>
        </w:rPr>
        <w:t>, imprescindibles para el mejor desempeño de tu labor como profesional de la salud.</w:t>
      </w:r>
    </w:p>
    <w:p w:rsidR="007E48D2" w:rsidRPr="006E15A3" w:rsidRDefault="007E48D2" w:rsidP="007E48D2">
      <w:pPr>
        <w:overflowPunct w:val="0"/>
        <w:autoSpaceDE w:val="0"/>
        <w:autoSpaceDN w:val="0"/>
        <w:adjustRightInd w:val="0"/>
        <w:spacing w:after="0"/>
        <w:jc w:val="both"/>
        <w:textAlignment w:val="baseline"/>
        <w:rPr>
          <w:rFonts w:ascii="Arial" w:hAnsi="Arial" w:cs="Arial"/>
          <w:sz w:val="24"/>
          <w:szCs w:val="24"/>
          <w:lang w:val="es-MX"/>
        </w:rPr>
      </w:pPr>
      <w:r w:rsidRPr="006E15A3">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7E48D2" w:rsidRPr="006E15A3" w:rsidRDefault="007E48D2" w:rsidP="007E48D2">
      <w:pPr>
        <w:numPr>
          <w:ilvl w:val="0"/>
          <w:numId w:val="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6E15A3">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7E48D2" w:rsidRPr="006E15A3" w:rsidRDefault="007E48D2" w:rsidP="007E48D2">
      <w:pPr>
        <w:numPr>
          <w:ilvl w:val="0"/>
          <w:numId w:val="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6E15A3">
        <w:rPr>
          <w:rFonts w:ascii="Arial" w:hAnsi="Arial" w:cs="Arial"/>
          <w:sz w:val="24"/>
          <w:szCs w:val="24"/>
          <w:lang w:val="es-MX"/>
        </w:rPr>
        <w:t xml:space="preserve">Busque los textos que debe estudiar y localice en ellos la información que debe aprender. </w:t>
      </w:r>
    </w:p>
    <w:p w:rsidR="007E48D2" w:rsidRPr="006E15A3" w:rsidRDefault="007E48D2" w:rsidP="007E48D2">
      <w:pPr>
        <w:numPr>
          <w:ilvl w:val="0"/>
          <w:numId w:val="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6E15A3">
        <w:rPr>
          <w:rFonts w:ascii="Arial" w:hAnsi="Arial" w:cs="Arial"/>
          <w:sz w:val="24"/>
          <w:szCs w:val="24"/>
          <w:lang w:val="es-MX"/>
        </w:rPr>
        <w:t>Haga una lectura rápida de todo el material que se le indica en la guía, para tener una visión general de la temática que se trata.</w:t>
      </w:r>
    </w:p>
    <w:p w:rsidR="007E48D2" w:rsidRPr="006E15A3" w:rsidRDefault="007E48D2" w:rsidP="007E48D2">
      <w:pPr>
        <w:numPr>
          <w:ilvl w:val="0"/>
          <w:numId w:val="4"/>
        </w:numPr>
        <w:tabs>
          <w:tab w:val="clear" w:pos="964"/>
          <w:tab w:val="num" w:pos="284"/>
          <w:tab w:val="left" w:pos="426"/>
        </w:tabs>
        <w:spacing w:after="0"/>
        <w:ind w:left="284" w:right="180" w:hanging="284"/>
        <w:jc w:val="both"/>
        <w:rPr>
          <w:rFonts w:ascii="Arial" w:hAnsi="Arial" w:cs="Arial"/>
          <w:sz w:val="24"/>
          <w:szCs w:val="24"/>
          <w:lang w:val="es-ES"/>
        </w:rPr>
      </w:pPr>
      <w:r w:rsidRPr="006E15A3">
        <w:rPr>
          <w:rFonts w:ascii="Arial" w:hAnsi="Arial" w:cs="Arial"/>
          <w:sz w:val="24"/>
          <w:szCs w:val="24"/>
          <w:lang w:val="es-ES"/>
        </w:rPr>
        <w:t xml:space="preserve">Haga una nueva lectura, esta vez más lenta, por tópicos, epígrafes o acápites. </w:t>
      </w:r>
    </w:p>
    <w:p w:rsidR="007E48D2" w:rsidRPr="006E15A3" w:rsidRDefault="007E48D2" w:rsidP="007E48D2">
      <w:pPr>
        <w:overflowPunct w:val="0"/>
        <w:autoSpaceDE w:val="0"/>
        <w:autoSpaceDN w:val="0"/>
        <w:adjustRightInd w:val="0"/>
        <w:spacing w:after="0"/>
        <w:ind w:left="708"/>
        <w:jc w:val="both"/>
        <w:textAlignment w:val="baseline"/>
        <w:rPr>
          <w:rFonts w:ascii="Arial" w:hAnsi="Arial" w:cs="Arial"/>
          <w:sz w:val="24"/>
          <w:szCs w:val="24"/>
          <w:lang w:val="es-MX"/>
        </w:rPr>
      </w:pPr>
    </w:p>
    <w:p w:rsidR="007E48D2" w:rsidRPr="006E15A3" w:rsidRDefault="007E48D2" w:rsidP="007E48D2">
      <w:pPr>
        <w:numPr>
          <w:ilvl w:val="0"/>
          <w:numId w:val="4"/>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6E15A3">
        <w:rPr>
          <w:rFonts w:ascii="Arial" w:hAnsi="Arial" w:cs="Arial"/>
          <w:b/>
          <w:sz w:val="24"/>
          <w:szCs w:val="24"/>
          <w:lang w:val="es-MX"/>
        </w:rPr>
        <w:t>Vuelva a leer</w:t>
      </w:r>
      <w:r w:rsidRPr="006E15A3">
        <w:rPr>
          <w:rFonts w:ascii="Arial" w:hAnsi="Arial" w:cs="Arial"/>
          <w:sz w:val="24"/>
          <w:szCs w:val="24"/>
          <w:lang w:val="es-MX"/>
        </w:rPr>
        <w:t xml:space="preserve"> los </w:t>
      </w:r>
      <w:r w:rsidRPr="006E15A3">
        <w:rPr>
          <w:rFonts w:ascii="Arial" w:hAnsi="Arial" w:cs="Arial"/>
          <w:b/>
          <w:sz w:val="24"/>
          <w:szCs w:val="24"/>
          <w:lang w:val="es-MX"/>
        </w:rPr>
        <w:t xml:space="preserve">objetivos </w:t>
      </w:r>
      <w:r w:rsidRPr="006E15A3">
        <w:rPr>
          <w:rFonts w:ascii="Arial" w:hAnsi="Arial" w:cs="Arial"/>
          <w:sz w:val="24"/>
          <w:szCs w:val="24"/>
          <w:lang w:val="es-MX"/>
        </w:rPr>
        <w:t xml:space="preserve">y </w:t>
      </w:r>
      <w:r w:rsidRPr="006E15A3">
        <w:rPr>
          <w:rFonts w:ascii="Arial" w:hAnsi="Arial" w:cs="Arial"/>
          <w:b/>
          <w:sz w:val="24"/>
          <w:szCs w:val="24"/>
          <w:lang w:val="es-MX"/>
        </w:rPr>
        <w:t>analice</w:t>
      </w:r>
      <w:r w:rsidRPr="006E15A3">
        <w:rPr>
          <w:rFonts w:ascii="Arial" w:hAnsi="Arial" w:cs="Arial"/>
          <w:sz w:val="24"/>
          <w:szCs w:val="24"/>
          <w:lang w:val="es-MX"/>
        </w:rPr>
        <w:t xml:space="preserve"> si ha comprendido lo que se pretende que usted sea capaz saber hacer.</w:t>
      </w:r>
    </w:p>
    <w:p w:rsidR="007E48D2" w:rsidRPr="006E15A3" w:rsidRDefault="007E48D2" w:rsidP="007E48D2">
      <w:pPr>
        <w:numPr>
          <w:ilvl w:val="0"/>
          <w:numId w:val="4"/>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6E15A3">
        <w:rPr>
          <w:rFonts w:ascii="Arial" w:hAnsi="Arial" w:cs="Arial"/>
          <w:b/>
          <w:sz w:val="24"/>
          <w:szCs w:val="24"/>
          <w:lang w:val="es-MX"/>
        </w:rPr>
        <w:t>Realice</w:t>
      </w:r>
      <w:r w:rsidRPr="006E15A3">
        <w:rPr>
          <w:rFonts w:ascii="Arial" w:hAnsi="Arial" w:cs="Arial"/>
          <w:sz w:val="24"/>
          <w:szCs w:val="24"/>
          <w:lang w:val="es-MX"/>
        </w:rPr>
        <w:t xml:space="preserve"> las actividades de </w:t>
      </w:r>
      <w:r w:rsidRPr="006E15A3">
        <w:rPr>
          <w:rFonts w:ascii="Arial" w:hAnsi="Arial" w:cs="Arial"/>
          <w:b/>
          <w:sz w:val="24"/>
          <w:szCs w:val="24"/>
          <w:lang w:val="es-MX"/>
        </w:rPr>
        <w:t>autocontrol</w:t>
      </w:r>
      <w:r w:rsidRPr="006E15A3">
        <w:rPr>
          <w:rFonts w:ascii="Arial" w:hAnsi="Arial" w:cs="Arial"/>
          <w:sz w:val="24"/>
          <w:szCs w:val="24"/>
          <w:lang w:val="es-MX"/>
        </w:rPr>
        <w:t>.</w:t>
      </w:r>
    </w:p>
    <w:p w:rsidR="007E48D2" w:rsidRPr="006E15A3" w:rsidRDefault="007E48D2" w:rsidP="007E48D2">
      <w:pPr>
        <w:numPr>
          <w:ilvl w:val="0"/>
          <w:numId w:val="4"/>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6E15A3">
        <w:rPr>
          <w:rFonts w:ascii="Arial" w:hAnsi="Arial" w:cs="Arial"/>
          <w:b/>
          <w:sz w:val="24"/>
          <w:szCs w:val="24"/>
          <w:lang w:val="es-MX"/>
        </w:rPr>
        <w:t>Aclare sus dudas</w:t>
      </w:r>
      <w:r w:rsidRPr="006E15A3">
        <w:rPr>
          <w:rFonts w:ascii="Arial" w:hAnsi="Arial" w:cs="Arial"/>
          <w:sz w:val="24"/>
          <w:szCs w:val="24"/>
          <w:lang w:val="es-MX"/>
        </w:rPr>
        <w:t xml:space="preserve"> con el profesor en el próximo encuentro.</w:t>
      </w:r>
    </w:p>
    <w:p w:rsidR="007E48D2" w:rsidRPr="006E15A3" w:rsidRDefault="007E48D2" w:rsidP="007E48D2">
      <w:pPr>
        <w:numPr>
          <w:ilvl w:val="0"/>
          <w:numId w:val="4"/>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6E15A3">
        <w:rPr>
          <w:rFonts w:ascii="Arial" w:hAnsi="Arial" w:cs="Arial"/>
          <w:b/>
          <w:sz w:val="24"/>
          <w:szCs w:val="24"/>
          <w:lang w:val="es-MX"/>
        </w:rPr>
        <w:t xml:space="preserve">La bibliografía: </w:t>
      </w:r>
      <w:r w:rsidRPr="006E15A3">
        <w:rPr>
          <w:rFonts w:ascii="Arial" w:hAnsi="Arial" w:cs="Arial"/>
          <w:sz w:val="24"/>
          <w:szCs w:val="24"/>
          <w:lang w:val="es-MX"/>
        </w:rPr>
        <w:t>Básica y Cualquier otra bibliografía complementaria se orientará a través del nombre completo del texto, autores.</w:t>
      </w:r>
    </w:p>
    <w:p w:rsidR="007E48D2" w:rsidRPr="006E15A3" w:rsidRDefault="007E48D2" w:rsidP="007E48D2">
      <w:pPr>
        <w:overflowPunct w:val="0"/>
        <w:autoSpaceDE w:val="0"/>
        <w:autoSpaceDN w:val="0"/>
        <w:adjustRightInd w:val="0"/>
        <w:spacing w:after="0"/>
        <w:jc w:val="both"/>
        <w:textAlignment w:val="baseline"/>
        <w:rPr>
          <w:rFonts w:ascii="Arial" w:hAnsi="Arial" w:cs="Arial"/>
          <w:b/>
          <w:sz w:val="24"/>
          <w:szCs w:val="24"/>
          <w:lang w:val="es-MX"/>
        </w:rPr>
      </w:pPr>
    </w:p>
    <w:p w:rsidR="007E48D2" w:rsidRPr="006E15A3" w:rsidRDefault="007E48D2" w:rsidP="007E48D2">
      <w:pPr>
        <w:pStyle w:val="texto"/>
        <w:spacing w:before="0" w:beforeAutospacing="0" w:after="0" w:afterAutospacing="0"/>
        <w:jc w:val="both"/>
        <w:rPr>
          <w:rFonts w:ascii="Arial" w:hAnsi="Arial" w:cs="Arial"/>
          <w:b/>
          <w:sz w:val="24"/>
          <w:szCs w:val="24"/>
        </w:rPr>
      </w:pPr>
    </w:p>
    <w:p w:rsidR="007E48D2" w:rsidRPr="006E15A3" w:rsidRDefault="007E48D2" w:rsidP="007E48D2">
      <w:pPr>
        <w:pStyle w:val="texto"/>
        <w:spacing w:before="0" w:beforeAutospacing="0" w:after="0" w:afterAutospacing="0"/>
        <w:jc w:val="both"/>
        <w:rPr>
          <w:rFonts w:ascii="Arial" w:hAnsi="Arial" w:cs="Arial"/>
          <w:b/>
          <w:sz w:val="24"/>
          <w:szCs w:val="24"/>
        </w:rPr>
      </w:pPr>
    </w:p>
    <w:p w:rsidR="007E48D2" w:rsidRPr="006E15A3" w:rsidRDefault="007E48D2" w:rsidP="007E48D2">
      <w:pPr>
        <w:pStyle w:val="texto"/>
        <w:spacing w:before="0" w:beforeAutospacing="0" w:after="0" w:afterAutospacing="0"/>
        <w:jc w:val="both"/>
        <w:rPr>
          <w:rFonts w:ascii="Arial" w:hAnsi="Arial" w:cs="Arial"/>
          <w:b/>
          <w:sz w:val="24"/>
          <w:szCs w:val="24"/>
        </w:rPr>
      </w:pPr>
    </w:p>
    <w:p w:rsidR="006E15A3" w:rsidRPr="006E15A3" w:rsidRDefault="006E15A3" w:rsidP="006E15A3">
      <w:pPr>
        <w:rPr>
          <w:rFonts w:ascii="Arial" w:hAnsi="Arial" w:cs="Arial"/>
          <w:b/>
          <w:sz w:val="24"/>
          <w:szCs w:val="24"/>
          <w:lang w:val="es-ES"/>
        </w:rPr>
      </w:pPr>
      <w:r w:rsidRPr="006E15A3">
        <w:rPr>
          <w:rFonts w:ascii="Arial" w:hAnsi="Arial" w:cs="Arial"/>
          <w:b/>
          <w:sz w:val="24"/>
          <w:szCs w:val="24"/>
          <w:lang w:val="es-ES"/>
        </w:rPr>
        <w:lastRenderedPageBreak/>
        <w:t>Unidad 3. Elementos de la didáctica.</w:t>
      </w:r>
    </w:p>
    <w:p w:rsidR="006E15A3" w:rsidRDefault="006E15A3" w:rsidP="006E15A3">
      <w:pPr>
        <w:rPr>
          <w:rFonts w:ascii="Arial" w:hAnsi="Arial" w:cs="Arial"/>
          <w:sz w:val="24"/>
          <w:szCs w:val="24"/>
          <w:lang w:val="es-ES"/>
        </w:rPr>
      </w:pPr>
      <w:r w:rsidRPr="006E15A3">
        <w:rPr>
          <w:rFonts w:ascii="Arial" w:hAnsi="Arial" w:cs="Arial"/>
          <w:b/>
          <w:sz w:val="24"/>
          <w:szCs w:val="24"/>
          <w:lang w:val="es-ES"/>
        </w:rPr>
        <w:t>Objetivo.</w:t>
      </w:r>
    </w:p>
    <w:p w:rsidR="006E15A3" w:rsidRPr="006E15A3" w:rsidRDefault="006E15A3" w:rsidP="006E15A3">
      <w:pPr>
        <w:pStyle w:val="Prrafodelista"/>
        <w:numPr>
          <w:ilvl w:val="0"/>
          <w:numId w:val="5"/>
        </w:numPr>
        <w:rPr>
          <w:rFonts w:ascii="Arial" w:hAnsi="Arial" w:cs="Arial"/>
          <w:sz w:val="24"/>
          <w:szCs w:val="24"/>
          <w:lang w:val="es-ES"/>
        </w:rPr>
      </w:pPr>
      <w:r w:rsidRPr="006E15A3">
        <w:rPr>
          <w:rFonts w:ascii="Arial" w:hAnsi="Arial" w:cs="Arial"/>
          <w:sz w:val="24"/>
          <w:szCs w:val="24"/>
          <w:lang w:val="es-ES"/>
        </w:rPr>
        <w:t>Identificar los medios de enseñanza utilizados en la actividad educativa.</w:t>
      </w:r>
    </w:p>
    <w:p w:rsidR="006E15A3" w:rsidRPr="006E15A3" w:rsidRDefault="006E15A3" w:rsidP="006E15A3">
      <w:pPr>
        <w:spacing w:line="180" w:lineRule="auto"/>
        <w:rPr>
          <w:rFonts w:ascii="Arial" w:hAnsi="Arial" w:cs="Arial"/>
          <w:b/>
          <w:sz w:val="24"/>
          <w:szCs w:val="24"/>
          <w:lang w:val="es-ES"/>
        </w:rPr>
      </w:pPr>
      <w:r w:rsidRPr="006E15A3">
        <w:rPr>
          <w:rFonts w:ascii="Arial" w:hAnsi="Arial" w:cs="Arial"/>
          <w:b/>
          <w:sz w:val="24"/>
          <w:szCs w:val="24"/>
          <w:lang w:val="es-ES"/>
        </w:rPr>
        <w:t>Contenido</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3.1 Los objetivos educativos. Normas para la formulación de los objetivos de una actividad educativa.</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 xml:space="preserve">3.2 Concepto de medios de enseñanza, clasificación, ventajas y desventajas. </w:t>
      </w:r>
    </w:p>
    <w:p w:rsidR="006E15A3" w:rsidRDefault="006E15A3" w:rsidP="006E15A3">
      <w:pPr>
        <w:rPr>
          <w:rFonts w:ascii="Arial" w:hAnsi="Arial" w:cs="Arial"/>
          <w:b/>
          <w:sz w:val="24"/>
          <w:szCs w:val="24"/>
          <w:lang w:val="es-ES"/>
        </w:rPr>
      </w:pPr>
    </w:p>
    <w:p w:rsidR="006E15A3" w:rsidRPr="006E15A3" w:rsidRDefault="006E15A3" w:rsidP="006E15A3">
      <w:pPr>
        <w:rPr>
          <w:rFonts w:ascii="Arial" w:hAnsi="Arial" w:cs="Arial"/>
          <w:sz w:val="24"/>
          <w:szCs w:val="24"/>
          <w:lang w:val="es-ES"/>
        </w:rPr>
      </w:pPr>
      <w:r w:rsidRPr="006E15A3">
        <w:rPr>
          <w:rFonts w:ascii="Arial" w:hAnsi="Arial" w:cs="Arial"/>
          <w:b/>
          <w:sz w:val="24"/>
          <w:szCs w:val="24"/>
          <w:lang w:val="es-ES"/>
        </w:rPr>
        <w:t>Unidad 4. Técnicas Grupales o de consenso</w:t>
      </w:r>
      <w:r w:rsidRPr="006E15A3">
        <w:rPr>
          <w:rFonts w:ascii="Arial" w:hAnsi="Arial" w:cs="Arial"/>
          <w:sz w:val="24"/>
          <w:szCs w:val="24"/>
          <w:lang w:val="es-ES"/>
        </w:rPr>
        <w:t xml:space="preserve">. </w:t>
      </w:r>
    </w:p>
    <w:p w:rsidR="006E15A3" w:rsidRDefault="006E15A3" w:rsidP="006E15A3">
      <w:pPr>
        <w:rPr>
          <w:rFonts w:ascii="Arial" w:hAnsi="Arial" w:cs="Arial"/>
          <w:sz w:val="24"/>
          <w:szCs w:val="24"/>
          <w:lang w:val="es-ES"/>
        </w:rPr>
      </w:pPr>
      <w:r w:rsidRPr="006E15A3">
        <w:rPr>
          <w:rFonts w:ascii="Arial" w:hAnsi="Arial" w:cs="Arial"/>
          <w:b/>
          <w:sz w:val="24"/>
          <w:szCs w:val="24"/>
          <w:lang w:val="es-ES"/>
        </w:rPr>
        <w:t>Objetivo</w:t>
      </w:r>
    </w:p>
    <w:p w:rsidR="006E15A3" w:rsidRPr="006E15A3" w:rsidRDefault="006E15A3" w:rsidP="006E15A3">
      <w:pPr>
        <w:pStyle w:val="Prrafodelista"/>
        <w:numPr>
          <w:ilvl w:val="0"/>
          <w:numId w:val="5"/>
        </w:numPr>
        <w:rPr>
          <w:rFonts w:ascii="Arial" w:hAnsi="Arial" w:cs="Arial"/>
          <w:sz w:val="24"/>
          <w:szCs w:val="24"/>
          <w:lang w:val="es-ES"/>
        </w:rPr>
      </w:pPr>
      <w:r w:rsidRPr="006E15A3">
        <w:rPr>
          <w:rFonts w:ascii="Arial" w:hAnsi="Arial" w:cs="Arial"/>
          <w:sz w:val="24"/>
          <w:szCs w:val="24"/>
          <w:lang w:val="es-ES"/>
        </w:rPr>
        <w:t>Caracterizar las técnicas grupales o de consenso con fines educativos.</w:t>
      </w:r>
    </w:p>
    <w:p w:rsidR="006E15A3" w:rsidRPr="006E15A3" w:rsidRDefault="006E15A3" w:rsidP="006E15A3">
      <w:pPr>
        <w:spacing w:line="180" w:lineRule="auto"/>
        <w:rPr>
          <w:rFonts w:ascii="Arial" w:hAnsi="Arial" w:cs="Arial"/>
          <w:b/>
          <w:sz w:val="24"/>
          <w:szCs w:val="24"/>
          <w:lang w:val="es-ES"/>
        </w:rPr>
      </w:pPr>
      <w:r w:rsidRPr="006E15A3">
        <w:rPr>
          <w:rFonts w:ascii="Arial" w:hAnsi="Arial" w:cs="Arial"/>
          <w:b/>
          <w:sz w:val="24"/>
          <w:szCs w:val="24"/>
          <w:lang w:val="es-ES"/>
        </w:rPr>
        <w:t>Contenido</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4.1 Mesa redonda.</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 xml:space="preserve">4.2 Simposio. </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4.3 Panel.</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 xml:space="preserve">4.4 </w:t>
      </w:r>
      <w:proofErr w:type="spellStart"/>
      <w:r w:rsidRPr="006E15A3">
        <w:rPr>
          <w:rFonts w:ascii="Arial" w:hAnsi="Arial" w:cs="Arial"/>
          <w:sz w:val="24"/>
          <w:szCs w:val="24"/>
          <w:lang w:val="es-ES"/>
        </w:rPr>
        <w:t>Forum</w:t>
      </w:r>
      <w:proofErr w:type="spellEnd"/>
      <w:r w:rsidRPr="006E15A3">
        <w:rPr>
          <w:rFonts w:ascii="Arial" w:hAnsi="Arial" w:cs="Arial"/>
          <w:sz w:val="24"/>
          <w:szCs w:val="24"/>
          <w:lang w:val="es-ES"/>
        </w:rPr>
        <w:t>.</w:t>
      </w:r>
      <w:bookmarkStart w:id="0" w:name="_GoBack"/>
      <w:bookmarkEnd w:id="0"/>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4.5 PHILLIPS 66.</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4.6 Grupos de discusión.</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4.7 Métodos de caso.</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4.8 Dramatización.</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4.9 Role-</w:t>
      </w:r>
      <w:proofErr w:type="spellStart"/>
      <w:r w:rsidRPr="006E15A3">
        <w:rPr>
          <w:rFonts w:ascii="Arial" w:hAnsi="Arial" w:cs="Arial"/>
          <w:sz w:val="24"/>
          <w:szCs w:val="24"/>
          <w:lang w:val="es-ES"/>
        </w:rPr>
        <w:t>Playing</w:t>
      </w:r>
      <w:proofErr w:type="spellEnd"/>
      <w:r w:rsidRPr="006E15A3">
        <w:rPr>
          <w:rFonts w:ascii="Arial" w:hAnsi="Arial" w:cs="Arial"/>
          <w:sz w:val="24"/>
          <w:szCs w:val="24"/>
          <w:lang w:val="es-ES"/>
        </w:rPr>
        <w:t xml:space="preserve">. </w:t>
      </w:r>
    </w:p>
    <w:p w:rsidR="006E15A3" w:rsidRP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 xml:space="preserve">4.10 </w:t>
      </w:r>
      <w:proofErr w:type="spellStart"/>
      <w:r w:rsidRPr="006E15A3">
        <w:rPr>
          <w:rFonts w:ascii="Arial" w:hAnsi="Arial" w:cs="Arial"/>
          <w:sz w:val="24"/>
          <w:szCs w:val="24"/>
          <w:lang w:val="es-ES"/>
        </w:rPr>
        <w:t>Brainstorming</w:t>
      </w:r>
      <w:proofErr w:type="spellEnd"/>
      <w:r w:rsidRPr="006E15A3">
        <w:rPr>
          <w:rFonts w:ascii="Arial" w:hAnsi="Arial" w:cs="Arial"/>
          <w:sz w:val="24"/>
          <w:szCs w:val="24"/>
          <w:lang w:val="es-ES"/>
        </w:rPr>
        <w:t>.</w:t>
      </w:r>
    </w:p>
    <w:p w:rsidR="006E15A3" w:rsidRDefault="006E15A3" w:rsidP="006E15A3">
      <w:pPr>
        <w:spacing w:line="180" w:lineRule="auto"/>
        <w:rPr>
          <w:rFonts w:ascii="Arial" w:hAnsi="Arial" w:cs="Arial"/>
          <w:sz w:val="24"/>
          <w:szCs w:val="24"/>
          <w:lang w:val="es-ES"/>
        </w:rPr>
      </w:pPr>
      <w:r w:rsidRPr="006E15A3">
        <w:rPr>
          <w:rFonts w:ascii="Arial" w:hAnsi="Arial" w:cs="Arial"/>
          <w:sz w:val="24"/>
          <w:szCs w:val="24"/>
          <w:lang w:val="es-ES"/>
        </w:rPr>
        <w:t xml:space="preserve">4.11 </w:t>
      </w:r>
      <w:proofErr w:type="spellStart"/>
      <w:r w:rsidRPr="006E15A3">
        <w:rPr>
          <w:rFonts w:ascii="Arial" w:hAnsi="Arial" w:cs="Arial"/>
          <w:sz w:val="24"/>
          <w:szCs w:val="24"/>
          <w:lang w:val="es-ES"/>
        </w:rPr>
        <w:t>Teatroimagen</w:t>
      </w:r>
      <w:proofErr w:type="spellEnd"/>
      <w:r w:rsidRPr="006E15A3">
        <w:rPr>
          <w:rFonts w:ascii="Arial" w:hAnsi="Arial" w:cs="Arial"/>
          <w:sz w:val="24"/>
          <w:szCs w:val="24"/>
          <w:lang w:val="es-ES"/>
        </w:rPr>
        <w:t>.</w:t>
      </w:r>
    </w:p>
    <w:p w:rsidR="003C5388" w:rsidRDefault="003C5388" w:rsidP="003C5388">
      <w:pPr>
        <w:pStyle w:val="texto"/>
        <w:spacing w:before="0" w:beforeAutospacing="0" w:after="0" w:afterAutospacing="0"/>
        <w:jc w:val="both"/>
        <w:rPr>
          <w:rFonts w:ascii="Arial" w:hAnsi="Arial" w:cs="Arial"/>
          <w:b/>
          <w:sz w:val="24"/>
          <w:szCs w:val="24"/>
        </w:rPr>
      </w:pPr>
    </w:p>
    <w:p w:rsidR="006E15A3" w:rsidRPr="006E15A3" w:rsidRDefault="006E15A3" w:rsidP="006E15A3">
      <w:pPr>
        <w:spacing w:line="180" w:lineRule="auto"/>
        <w:rPr>
          <w:rFonts w:ascii="Arial" w:hAnsi="Arial" w:cs="Arial"/>
          <w:b/>
          <w:sz w:val="24"/>
          <w:szCs w:val="24"/>
          <w:lang w:val="es-ES"/>
        </w:rPr>
      </w:pPr>
      <w:r w:rsidRPr="006E15A3">
        <w:rPr>
          <w:rFonts w:ascii="Arial" w:hAnsi="Arial" w:cs="Arial"/>
          <w:b/>
          <w:sz w:val="24"/>
          <w:szCs w:val="24"/>
          <w:lang w:val="es-ES"/>
        </w:rPr>
        <w:t>Orientaciones para el estudio</w:t>
      </w:r>
    </w:p>
    <w:p w:rsidR="006E15A3" w:rsidRDefault="006E15A3" w:rsidP="006E15A3">
      <w:pPr>
        <w:rPr>
          <w:rFonts w:ascii="Arial" w:hAnsi="Arial" w:cs="Arial"/>
          <w:sz w:val="24"/>
          <w:szCs w:val="24"/>
          <w:lang w:val="es-ES"/>
        </w:rPr>
      </w:pPr>
      <w:r>
        <w:rPr>
          <w:rFonts w:ascii="Arial" w:hAnsi="Arial" w:cs="Arial"/>
          <w:sz w:val="24"/>
          <w:szCs w:val="24"/>
          <w:lang w:val="es-ES"/>
        </w:rPr>
        <w:t>Estudiar en la bibliografía propuesta p</w:t>
      </w:r>
      <w:r w:rsidRPr="006E15A3">
        <w:rPr>
          <w:rFonts w:ascii="Arial" w:hAnsi="Arial" w:cs="Arial"/>
          <w:sz w:val="24"/>
          <w:szCs w:val="24"/>
          <w:lang w:val="es-ES"/>
        </w:rPr>
        <w:t>ara cada t</w:t>
      </w:r>
      <w:r>
        <w:rPr>
          <w:rFonts w:ascii="Arial" w:hAnsi="Arial" w:cs="Arial"/>
          <w:sz w:val="24"/>
          <w:szCs w:val="24"/>
          <w:lang w:val="es-ES"/>
        </w:rPr>
        <w:t>écnica:</w:t>
      </w:r>
    </w:p>
    <w:p w:rsidR="006E15A3" w:rsidRDefault="006E15A3" w:rsidP="006E15A3">
      <w:pPr>
        <w:pStyle w:val="Prrafodelista"/>
        <w:numPr>
          <w:ilvl w:val="0"/>
          <w:numId w:val="6"/>
        </w:numPr>
        <w:rPr>
          <w:rFonts w:ascii="Arial" w:hAnsi="Arial" w:cs="Arial"/>
          <w:sz w:val="24"/>
          <w:szCs w:val="24"/>
          <w:lang w:val="es-ES"/>
        </w:rPr>
      </w:pPr>
      <w:r w:rsidRPr="006E15A3">
        <w:rPr>
          <w:rFonts w:ascii="Arial" w:hAnsi="Arial" w:cs="Arial"/>
          <w:sz w:val="24"/>
          <w:szCs w:val="24"/>
          <w:lang w:val="es-ES"/>
        </w:rPr>
        <w:t xml:space="preserve">Concepto. </w:t>
      </w:r>
    </w:p>
    <w:p w:rsidR="006E15A3" w:rsidRDefault="006E15A3" w:rsidP="006E15A3">
      <w:pPr>
        <w:pStyle w:val="Prrafodelista"/>
        <w:numPr>
          <w:ilvl w:val="0"/>
          <w:numId w:val="6"/>
        </w:numPr>
        <w:rPr>
          <w:rFonts w:ascii="Arial" w:hAnsi="Arial" w:cs="Arial"/>
          <w:sz w:val="24"/>
          <w:szCs w:val="24"/>
          <w:lang w:val="es-ES"/>
        </w:rPr>
      </w:pPr>
      <w:r w:rsidRPr="006E15A3">
        <w:rPr>
          <w:rFonts w:ascii="Arial" w:hAnsi="Arial" w:cs="Arial"/>
          <w:sz w:val="24"/>
          <w:szCs w:val="24"/>
          <w:lang w:val="es-ES"/>
        </w:rPr>
        <w:t xml:space="preserve">Características. </w:t>
      </w:r>
    </w:p>
    <w:p w:rsidR="006E15A3" w:rsidRDefault="006E15A3" w:rsidP="006E15A3">
      <w:pPr>
        <w:pStyle w:val="Prrafodelista"/>
        <w:numPr>
          <w:ilvl w:val="0"/>
          <w:numId w:val="6"/>
        </w:numPr>
        <w:rPr>
          <w:rFonts w:ascii="Arial" w:hAnsi="Arial" w:cs="Arial"/>
          <w:sz w:val="24"/>
          <w:szCs w:val="24"/>
          <w:lang w:val="es-ES"/>
        </w:rPr>
      </w:pPr>
      <w:r w:rsidRPr="006E15A3">
        <w:rPr>
          <w:rFonts w:ascii="Arial" w:hAnsi="Arial" w:cs="Arial"/>
          <w:sz w:val="24"/>
          <w:szCs w:val="24"/>
          <w:lang w:val="es-ES"/>
        </w:rPr>
        <w:t xml:space="preserve">Utilidad y limitaciones. </w:t>
      </w:r>
    </w:p>
    <w:p w:rsidR="006E15A3" w:rsidRDefault="006E15A3" w:rsidP="006E15A3">
      <w:pPr>
        <w:pStyle w:val="Prrafodelista"/>
        <w:numPr>
          <w:ilvl w:val="0"/>
          <w:numId w:val="6"/>
        </w:numPr>
        <w:rPr>
          <w:rFonts w:ascii="Arial" w:hAnsi="Arial" w:cs="Arial"/>
          <w:sz w:val="24"/>
          <w:szCs w:val="24"/>
          <w:lang w:val="es-ES"/>
        </w:rPr>
      </w:pPr>
      <w:r w:rsidRPr="006E15A3">
        <w:rPr>
          <w:rFonts w:ascii="Arial" w:hAnsi="Arial" w:cs="Arial"/>
          <w:sz w:val="24"/>
          <w:szCs w:val="24"/>
          <w:lang w:val="es-ES"/>
        </w:rPr>
        <w:t>Consejos prácticos para su aplicación.</w:t>
      </w:r>
    </w:p>
    <w:p w:rsidR="006E15A3" w:rsidRPr="006E15A3" w:rsidRDefault="006E15A3" w:rsidP="006E15A3">
      <w:pPr>
        <w:pStyle w:val="Prrafodelista"/>
        <w:numPr>
          <w:ilvl w:val="0"/>
          <w:numId w:val="6"/>
        </w:numPr>
        <w:rPr>
          <w:rFonts w:ascii="Arial" w:hAnsi="Arial" w:cs="Arial"/>
          <w:sz w:val="24"/>
          <w:szCs w:val="24"/>
          <w:lang w:val="es-ES"/>
        </w:rPr>
      </w:pPr>
      <w:r w:rsidRPr="006E15A3">
        <w:rPr>
          <w:rFonts w:ascii="Arial" w:hAnsi="Arial" w:cs="Arial"/>
          <w:sz w:val="24"/>
          <w:szCs w:val="24"/>
          <w:lang w:val="es-ES"/>
        </w:rPr>
        <w:t xml:space="preserve"> Criterios o factores a tener en cuenta para su elección.</w:t>
      </w:r>
    </w:p>
    <w:p w:rsidR="003C5388" w:rsidRDefault="003C5388" w:rsidP="003C5388">
      <w:pPr>
        <w:pStyle w:val="texto"/>
        <w:spacing w:before="0" w:beforeAutospacing="0" w:after="0" w:afterAutospacing="0"/>
        <w:jc w:val="both"/>
        <w:rPr>
          <w:rFonts w:ascii="Arial" w:hAnsi="Arial" w:cs="Arial"/>
          <w:b/>
          <w:sz w:val="24"/>
          <w:szCs w:val="24"/>
        </w:rPr>
      </w:pPr>
      <w:r w:rsidRPr="006E15A3">
        <w:rPr>
          <w:rFonts w:ascii="Arial" w:hAnsi="Arial" w:cs="Arial"/>
          <w:b/>
          <w:sz w:val="24"/>
          <w:szCs w:val="24"/>
        </w:rPr>
        <w:lastRenderedPageBreak/>
        <w:t>Tareas a realizar para el estudio independiente:</w:t>
      </w:r>
    </w:p>
    <w:p w:rsidR="003C5388" w:rsidRPr="006E15A3" w:rsidRDefault="003C5388" w:rsidP="003C5388">
      <w:pPr>
        <w:pStyle w:val="texto"/>
        <w:spacing w:before="0" w:beforeAutospacing="0" w:after="0" w:afterAutospacing="0"/>
        <w:jc w:val="both"/>
        <w:rPr>
          <w:rFonts w:ascii="Arial" w:hAnsi="Arial" w:cs="Arial"/>
          <w:b/>
          <w:sz w:val="24"/>
          <w:szCs w:val="24"/>
        </w:rPr>
      </w:pPr>
    </w:p>
    <w:p w:rsidR="003C5388" w:rsidRPr="006E15A3" w:rsidRDefault="003C5388" w:rsidP="003C5388">
      <w:pPr>
        <w:pStyle w:val="texto"/>
        <w:spacing w:before="0" w:beforeAutospacing="0" w:after="0" w:afterAutospacing="0"/>
        <w:jc w:val="both"/>
        <w:rPr>
          <w:rFonts w:ascii="Arial" w:hAnsi="Arial" w:cs="Arial"/>
          <w:sz w:val="24"/>
          <w:szCs w:val="24"/>
        </w:rPr>
      </w:pPr>
      <w:r w:rsidRPr="006E15A3">
        <w:rPr>
          <w:rFonts w:ascii="Arial" w:hAnsi="Arial" w:cs="Arial"/>
          <w:sz w:val="24"/>
          <w:szCs w:val="24"/>
        </w:rPr>
        <w:t xml:space="preserve">Después que hayas realizado la lectura </w:t>
      </w:r>
      <w:r>
        <w:rPr>
          <w:rFonts w:ascii="Arial" w:hAnsi="Arial" w:cs="Arial"/>
          <w:sz w:val="24"/>
          <w:szCs w:val="24"/>
        </w:rPr>
        <w:t>de la bibliografía básica orien</w:t>
      </w:r>
      <w:r w:rsidRPr="006E15A3">
        <w:rPr>
          <w:rFonts w:ascii="Arial" w:hAnsi="Arial" w:cs="Arial"/>
          <w:sz w:val="24"/>
          <w:szCs w:val="24"/>
        </w:rPr>
        <w:t xml:space="preserve">tada, estarás en disposición de iniciar el trabajo independiente relacionado con este tema: </w:t>
      </w:r>
    </w:p>
    <w:p w:rsidR="003C5388" w:rsidRPr="006E15A3" w:rsidRDefault="003C5388" w:rsidP="003C5388">
      <w:pPr>
        <w:numPr>
          <w:ilvl w:val="0"/>
          <w:numId w:val="3"/>
        </w:numPr>
        <w:spacing w:after="0" w:line="240" w:lineRule="auto"/>
        <w:jc w:val="both"/>
        <w:rPr>
          <w:rFonts w:ascii="Arial" w:hAnsi="Arial" w:cs="Arial"/>
          <w:sz w:val="24"/>
          <w:szCs w:val="24"/>
        </w:rPr>
      </w:pPr>
      <w:r w:rsidRPr="006E15A3">
        <w:rPr>
          <w:rFonts w:ascii="Arial" w:hAnsi="Arial" w:cs="Arial"/>
          <w:sz w:val="24"/>
          <w:szCs w:val="24"/>
        </w:rPr>
        <w:t xml:space="preserve">Lee </w:t>
      </w:r>
      <w:proofErr w:type="spellStart"/>
      <w:r w:rsidRPr="006E15A3">
        <w:rPr>
          <w:rFonts w:ascii="Arial" w:hAnsi="Arial" w:cs="Arial"/>
          <w:sz w:val="24"/>
          <w:szCs w:val="24"/>
        </w:rPr>
        <w:t>detenidamente</w:t>
      </w:r>
      <w:proofErr w:type="spellEnd"/>
      <w:r w:rsidRPr="006E15A3">
        <w:rPr>
          <w:rFonts w:ascii="Arial" w:hAnsi="Arial" w:cs="Arial"/>
          <w:sz w:val="24"/>
          <w:szCs w:val="24"/>
        </w:rPr>
        <w:t xml:space="preserve"> la </w:t>
      </w:r>
      <w:proofErr w:type="spellStart"/>
      <w:r w:rsidRPr="006E15A3">
        <w:rPr>
          <w:rFonts w:ascii="Arial" w:hAnsi="Arial" w:cs="Arial"/>
          <w:sz w:val="24"/>
          <w:szCs w:val="24"/>
        </w:rPr>
        <w:t>Bibliografía</w:t>
      </w:r>
      <w:proofErr w:type="spellEnd"/>
      <w:r w:rsidRPr="006E15A3">
        <w:rPr>
          <w:rFonts w:ascii="Arial" w:hAnsi="Arial" w:cs="Arial"/>
          <w:sz w:val="24"/>
          <w:szCs w:val="24"/>
        </w:rPr>
        <w:t xml:space="preserve"> </w:t>
      </w:r>
      <w:proofErr w:type="spellStart"/>
      <w:r w:rsidRPr="006E15A3">
        <w:rPr>
          <w:rFonts w:ascii="Arial" w:hAnsi="Arial" w:cs="Arial"/>
          <w:sz w:val="24"/>
          <w:szCs w:val="24"/>
        </w:rPr>
        <w:t>Básica</w:t>
      </w:r>
      <w:proofErr w:type="spellEnd"/>
    </w:p>
    <w:p w:rsidR="003C5388" w:rsidRPr="006E15A3" w:rsidRDefault="003C5388" w:rsidP="003C5388">
      <w:pPr>
        <w:numPr>
          <w:ilvl w:val="0"/>
          <w:numId w:val="3"/>
        </w:numPr>
        <w:spacing w:after="0" w:line="240" w:lineRule="auto"/>
        <w:jc w:val="both"/>
        <w:rPr>
          <w:rFonts w:ascii="Arial" w:hAnsi="Arial" w:cs="Arial"/>
          <w:sz w:val="24"/>
          <w:szCs w:val="24"/>
          <w:lang w:val="es-ES"/>
        </w:rPr>
      </w:pPr>
      <w:r w:rsidRPr="006E15A3">
        <w:rPr>
          <w:rFonts w:ascii="Arial" w:hAnsi="Arial" w:cs="Arial"/>
          <w:sz w:val="24"/>
          <w:szCs w:val="24"/>
          <w:lang w:val="es-ES"/>
        </w:rPr>
        <w:t xml:space="preserve">Trata de contestar cada una de las tareas que a continuación se exponen. </w:t>
      </w:r>
    </w:p>
    <w:p w:rsidR="003C5388" w:rsidRPr="006E15A3" w:rsidRDefault="003C5388" w:rsidP="003C5388">
      <w:pPr>
        <w:numPr>
          <w:ilvl w:val="0"/>
          <w:numId w:val="3"/>
        </w:numPr>
        <w:spacing w:after="0" w:line="240" w:lineRule="auto"/>
        <w:jc w:val="both"/>
        <w:rPr>
          <w:rFonts w:ascii="Arial" w:hAnsi="Arial" w:cs="Arial"/>
          <w:sz w:val="24"/>
          <w:szCs w:val="24"/>
          <w:lang w:val="es-ES"/>
        </w:rPr>
      </w:pPr>
      <w:r w:rsidRPr="006E15A3">
        <w:rPr>
          <w:rFonts w:ascii="Arial" w:hAnsi="Arial" w:cs="Arial"/>
          <w:sz w:val="24"/>
          <w:szCs w:val="24"/>
          <w:lang w:val="es-ES"/>
        </w:rPr>
        <w:t xml:space="preserve">Confecciona un resumen de cada una de ellas, pues te servirán posteriormente para tu estudio individual. </w:t>
      </w:r>
    </w:p>
    <w:p w:rsidR="003C5388" w:rsidRPr="006E15A3" w:rsidRDefault="003C5388" w:rsidP="003C5388">
      <w:pPr>
        <w:spacing w:after="0" w:line="240" w:lineRule="auto"/>
        <w:jc w:val="both"/>
        <w:rPr>
          <w:rFonts w:ascii="Arial" w:hAnsi="Arial" w:cs="Arial"/>
          <w:b/>
          <w:bCs/>
          <w:sz w:val="24"/>
          <w:szCs w:val="24"/>
          <w:lang w:val="es-ES"/>
        </w:rPr>
      </w:pPr>
    </w:p>
    <w:p w:rsidR="003C5388" w:rsidRPr="006E15A3" w:rsidRDefault="003C5388" w:rsidP="003C5388">
      <w:pPr>
        <w:spacing w:line="180" w:lineRule="auto"/>
        <w:rPr>
          <w:rFonts w:ascii="Arial" w:hAnsi="Arial" w:cs="Arial"/>
          <w:b/>
          <w:sz w:val="24"/>
          <w:szCs w:val="24"/>
          <w:lang w:val="es-ES"/>
        </w:rPr>
      </w:pPr>
    </w:p>
    <w:p w:rsidR="003C5388" w:rsidRDefault="003C5388" w:rsidP="006E15A3">
      <w:pPr>
        <w:rPr>
          <w:rFonts w:ascii="Arial" w:hAnsi="Arial" w:cs="Arial"/>
          <w:sz w:val="24"/>
          <w:szCs w:val="24"/>
          <w:lang w:val="es-ES"/>
        </w:rPr>
      </w:pPr>
    </w:p>
    <w:p w:rsidR="003C5388" w:rsidRDefault="003C5388" w:rsidP="006E15A3">
      <w:pPr>
        <w:rPr>
          <w:rFonts w:ascii="Arial" w:hAnsi="Arial" w:cs="Arial"/>
          <w:sz w:val="24"/>
          <w:szCs w:val="24"/>
          <w:lang w:val="es-ES"/>
        </w:rPr>
      </w:pPr>
    </w:p>
    <w:p w:rsidR="008E72DC" w:rsidRPr="008E72DC" w:rsidRDefault="008E72DC" w:rsidP="008E72DC">
      <w:pPr>
        <w:spacing w:after="0" w:line="240" w:lineRule="auto"/>
        <w:jc w:val="both"/>
        <w:rPr>
          <w:rFonts w:ascii="Arial" w:hAnsi="Arial" w:cs="Arial"/>
          <w:b/>
          <w:bCs/>
          <w:sz w:val="24"/>
          <w:szCs w:val="24"/>
          <w:lang w:val="es-ES"/>
        </w:rPr>
      </w:pPr>
      <w:r w:rsidRPr="008E72DC">
        <w:rPr>
          <w:rFonts w:ascii="Arial" w:hAnsi="Arial" w:cs="Arial"/>
          <w:b/>
          <w:bCs/>
          <w:sz w:val="24"/>
          <w:szCs w:val="24"/>
          <w:lang w:val="es-ES"/>
        </w:rPr>
        <w:t>Bibliografía:</w:t>
      </w:r>
    </w:p>
    <w:p w:rsidR="008E72DC" w:rsidRPr="008E72DC" w:rsidRDefault="008E72DC" w:rsidP="008E72DC">
      <w:pPr>
        <w:spacing w:after="0" w:line="240" w:lineRule="auto"/>
        <w:jc w:val="both"/>
        <w:rPr>
          <w:rFonts w:ascii="Arial" w:hAnsi="Arial" w:cs="Arial"/>
          <w:b/>
          <w:color w:val="FF0000"/>
          <w:sz w:val="24"/>
          <w:szCs w:val="24"/>
          <w:lang w:val="es-MX"/>
        </w:rPr>
      </w:pPr>
      <w:r w:rsidRPr="008E72DC">
        <w:rPr>
          <w:rFonts w:ascii="Arial" w:hAnsi="Arial" w:cs="Arial"/>
          <w:b/>
          <w:bCs/>
          <w:sz w:val="24"/>
          <w:szCs w:val="24"/>
          <w:lang w:val="es-ES"/>
        </w:rPr>
        <w:t>Básica:</w:t>
      </w:r>
    </w:p>
    <w:p w:rsidR="006E15A3" w:rsidRPr="006E15A3" w:rsidRDefault="006E15A3" w:rsidP="006E15A3">
      <w:pPr>
        <w:pStyle w:val="Prrafodelista"/>
        <w:numPr>
          <w:ilvl w:val="0"/>
          <w:numId w:val="1"/>
        </w:numPr>
        <w:rPr>
          <w:rFonts w:ascii="Arial" w:hAnsi="Arial" w:cs="Arial"/>
          <w:sz w:val="24"/>
          <w:szCs w:val="24"/>
          <w:lang w:val="es-ES"/>
        </w:rPr>
      </w:pPr>
      <w:r w:rsidRPr="006E15A3">
        <w:rPr>
          <w:rFonts w:ascii="Arial" w:hAnsi="Arial" w:cs="Arial"/>
          <w:sz w:val="24"/>
          <w:szCs w:val="24"/>
          <w:lang w:val="es-ES"/>
        </w:rPr>
        <w:t>Folleto preparado para la asignatura por un colectivo de autores.</w:t>
      </w:r>
    </w:p>
    <w:p w:rsidR="006E15A3" w:rsidRPr="006E15A3" w:rsidRDefault="006E15A3" w:rsidP="006E15A3">
      <w:pPr>
        <w:pStyle w:val="Prrafodelista"/>
        <w:numPr>
          <w:ilvl w:val="0"/>
          <w:numId w:val="1"/>
        </w:numPr>
        <w:rPr>
          <w:rFonts w:ascii="Arial" w:hAnsi="Arial" w:cs="Arial"/>
          <w:sz w:val="24"/>
          <w:szCs w:val="24"/>
          <w:lang w:val="es-ES"/>
        </w:rPr>
      </w:pPr>
      <w:r w:rsidRPr="006E15A3">
        <w:rPr>
          <w:rFonts w:ascii="Arial" w:hAnsi="Arial" w:cs="Arial"/>
          <w:sz w:val="24"/>
          <w:szCs w:val="24"/>
          <w:lang w:val="es-ES"/>
        </w:rPr>
        <w:t>García, A. Materiales de apoyo para el curso de Técnico Dietista. Tomo III, 1986.</w:t>
      </w:r>
    </w:p>
    <w:p w:rsidR="006E15A3" w:rsidRPr="008E72DC" w:rsidRDefault="006E15A3" w:rsidP="006E15A3">
      <w:pPr>
        <w:rPr>
          <w:rFonts w:ascii="Arial" w:hAnsi="Arial" w:cs="Arial"/>
          <w:b/>
          <w:sz w:val="24"/>
          <w:szCs w:val="24"/>
          <w:lang w:val="es-ES"/>
        </w:rPr>
      </w:pPr>
      <w:r w:rsidRPr="008E72DC">
        <w:rPr>
          <w:rFonts w:ascii="Arial" w:hAnsi="Arial" w:cs="Arial"/>
          <w:b/>
          <w:sz w:val="24"/>
          <w:szCs w:val="24"/>
          <w:lang w:val="es-ES"/>
        </w:rPr>
        <w:t xml:space="preserve">Complementaria: </w:t>
      </w:r>
    </w:p>
    <w:p w:rsidR="006E15A3" w:rsidRPr="006E15A3" w:rsidRDefault="006E15A3" w:rsidP="006E15A3">
      <w:pPr>
        <w:pStyle w:val="Prrafodelista"/>
        <w:numPr>
          <w:ilvl w:val="0"/>
          <w:numId w:val="2"/>
        </w:numPr>
        <w:rPr>
          <w:rFonts w:ascii="Arial" w:hAnsi="Arial" w:cs="Arial"/>
          <w:sz w:val="24"/>
          <w:szCs w:val="24"/>
          <w:lang w:val="es-ES"/>
        </w:rPr>
      </w:pPr>
      <w:r w:rsidRPr="006E15A3">
        <w:rPr>
          <w:rFonts w:ascii="Arial" w:hAnsi="Arial" w:cs="Arial"/>
          <w:sz w:val="24"/>
          <w:szCs w:val="24"/>
          <w:lang w:val="es-ES"/>
        </w:rPr>
        <w:t xml:space="preserve">Plasencia D, Torres M, </w:t>
      </w:r>
      <w:proofErr w:type="spellStart"/>
      <w:r w:rsidRPr="006E15A3">
        <w:rPr>
          <w:rFonts w:ascii="Arial" w:hAnsi="Arial" w:cs="Arial"/>
          <w:sz w:val="24"/>
          <w:szCs w:val="24"/>
          <w:lang w:val="es-ES"/>
        </w:rPr>
        <w:t>Proenza</w:t>
      </w:r>
      <w:proofErr w:type="spellEnd"/>
      <w:r w:rsidRPr="006E15A3">
        <w:rPr>
          <w:rFonts w:ascii="Arial" w:hAnsi="Arial" w:cs="Arial"/>
          <w:sz w:val="24"/>
          <w:szCs w:val="24"/>
          <w:lang w:val="es-ES"/>
        </w:rPr>
        <w:t xml:space="preserve">  M, Manual de capacitación educativa nutricional. Ministerio de Salud Pública, 1987.</w:t>
      </w:r>
    </w:p>
    <w:p w:rsidR="006E15A3" w:rsidRPr="006E15A3" w:rsidRDefault="006E15A3" w:rsidP="006E15A3">
      <w:pPr>
        <w:pStyle w:val="Prrafodelista"/>
        <w:numPr>
          <w:ilvl w:val="0"/>
          <w:numId w:val="2"/>
        </w:numPr>
        <w:rPr>
          <w:rFonts w:ascii="Arial" w:hAnsi="Arial" w:cs="Arial"/>
          <w:sz w:val="24"/>
          <w:szCs w:val="24"/>
          <w:lang w:val="es-ES"/>
        </w:rPr>
      </w:pPr>
      <w:r w:rsidRPr="006E15A3">
        <w:rPr>
          <w:rFonts w:ascii="Arial" w:hAnsi="Arial" w:cs="Arial"/>
          <w:sz w:val="24"/>
          <w:szCs w:val="24"/>
          <w:lang w:val="es-ES"/>
        </w:rPr>
        <w:t>Colectivo de autores. Educación Alimentaria, Nutricional  e Higiene de los Alimentos, Manual de capacitación. INHA. Ministerio de Salud Pública, La Habana, 2004.</w:t>
      </w:r>
    </w:p>
    <w:p w:rsidR="006E15A3" w:rsidRPr="006E15A3" w:rsidRDefault="006E15A3" w:rsidP="006E15A3">
      <w:pPr>
        <w:pStyle w:val="Prrafodelista"/>
        <w:numPr>
          <w:ilvl w:val="0"/>
          <w:numId w:val="2"/>
        </w:numPr>
        <w:rPr>
          <w:rFonts w:ascii="Arial" w:hAnsi="Arial" w:cs="Arial"/>
          <w:sz w:val="24"/>
          <w:szCs w:val="24"/>
          <w:lang w:val="es-ES"/>
        </w:rPr>
      </w:pPr>
      <w:r w:rsidRPr="006E15A3">
        <w:rPr>
          <w:rFonts w:ascii="Arial" w:hAnsi="Arial" w:cs="Arial"/>
          <w:sz w:val="24"/>
          <w:szCs w:val="24"/>
          <w:lang w:val="es-ES"/>
        </w:rPr>
        <w:t>Colectivo de autores. Técnicas participativas en la educación alimentaria, nutricional e higiene de los alimentos en el ámbito escolar. HNHA. Ministerio de Salud Pública, La Habana, 2006.</w:t>
      </w:r>
    </w:p>
    <w:p w:rsidR="006E15A3" w:rsidRPr="006E15A3" w:rsidRDefault="006E15A3" w:rsidP="006E15A3">
      <w:pPr>
        <w:pStyle w:val="Prrafodelista"/>
        <w:numPr>
          <w:ilvl w:val="0"/>
          <w:numId w:val="2"/>
        </w:numPr>
        <w:rPr>
          <w:rFonts w:ascii="Arial" w:hAnsi="Arial" w:cs="Arial"/>
          <w:sz w:val="24"/>
          <w:szCs w:val="24"/>
          <w:lang w:val="es-ES"/>
        </w:rPr>
      </w:pPr>
      <w:r w:rsidRPr="006E15A3">
        <w:rPr>
          <w:rFonts w:ascii="Arial" w:hAnsi="Arial" w:cs="Arial"/>
          <w:sz w:val="24"/>
          <w:szCs w:val="24"/>
          <w:lang w:val="es-ES"/>
        </w:rPr>
        <w:t>Colectivo de autores. Experiencias de un programa participativo de educación nutricional en adolescentes de 12 a 15 años. INHA, Ministerio de Salud Pública, La Habana, 2007</w:t>
      </w:r>
    </w:p>
    <w:p w:rsidR="006E15A3" w:rsidRPr="006E15A3" w:rsidRDefault="006E15A3" w:rsidP="006E15A3">
      <w:pPr>
        <w:pStyle w:val="Prrafodelista"/>
        <w:numPr>
          <w:ilvl w:val="0"/>
          <w:numId w:val="2"/>
        </w:numPr>
        <w:rPr>
          <w:rFonts w:ascii="Arial" w:hAnsi="Arial" w:cs="Arial"/>
          <w:sz w:val="24"/>
          <w:szCs w:val="24"/>
          <w:lang w:val="es-ES"/>
        </w:rPr>
      </w:pPr>
      <w:r w:rsidRPr="006E15A3">
        <w:rPr>
          <w:rFonts w:ascii="Arial" w:hAnsi="Arial" w:cs="Arial"/>
          <w:sz w:val="24"/>
          <w:szCs w:val="24"/>
          <w:lang w:val="es-ES"/>
        </w:rPr>
        <w:t>Caballero Torres A y col. Texto “Temas de Higiene de los Alimentos</w:t>
      </w:r>
      <w:proofErr w:type="gramStart"/>
      <w:r w:rsidRPr="006E15A3">
        <w:rPr>
          <w:rFonts w:ascii="Arial" w:hAnsi="Arial" w:cs="Arial"/>
          <w:sz w:val="24"/>
          <w:szCs w:val="24"/>
          <w:lang w:val="es-ES"/>
        </w:rPr>
        <w:t>” ,</w:t>
      </w:r>
      <w:proofErr w:type="gramEnd"/>
      <w:r w:rsidRPr="006E15A3">
        <w:rPr>
          <w:rFonts w:ascii="Arial" w:hAnsi="Arial" w:cs="Arial"/>
          <w:sz w:val="24"/>
          <w:szCs w:val="24"/>
          <w:lang w:val="es-ES"/>
        </w:rPr>
        <w:t xml:space="preserve"> Capítulo de Educación Sanitaria.  </w:t>
      </w:r>
    </w:p>
    <w:p w:rsidR="007E48D2" w:rsidRPr="006E15A3" w:rsidRDefault="007E48D2" w:rsidP="007E48D2">
      <w:pPr>
        <w:pStyle w:val="texto"/>
        <w:spacing w:before="0" w:beforeAutospacing="0" w:after="0" w:afterAutospacing="0"/>
        <w:jc w:val="both"/>
        <w:rPr>
          <w:rFonts w:ascii="Arial" w:hAnsi="Arial" w:cs="Arial"/>
          <w:b/>
          <w:sz w:val="24"/>
          <w:szCs w:val="24"/>
          <w:lang w:val="es-ES"/>
        </w:rPr>
      </w:pPr>
    </w:p>
    <w:p w:rsidR="007E48D2" w:rsidRPr="006E15A3" w:rsidRDefault="007E48D2" w:rsidP="007E48D2">
      <w:pPr>
        <w:spacing w:after="0"/>
        <w:rPr>
          <w:rFonts w:ascii="Arial" w:hAnsi="Arial" w:cs="Arial"/>
          <w:sz w:val="24"/>
          <w:szCs w:val="24"/>
          <w:lang w:val="es-ES"/>
        </w:rPr>
      </w:pPr>
    </w:p>
    <w:p w:rsidR="007E48D2" w:rsidRPr="006E15A3" w:rsidRDefault="007E48D2">
      <w:pPr>
        <w:rPr>
          <w:rFonts w:ascii="Arial" w:hAnsi="Arial" w:cs="Arial"/>
          <w:sz w:val="24"/>
          <w:szCs w:val="24"/>
          <w:lang w:val="es-ES"/>
        </w:rPr>
      </w:pPr>
    </w:p>
    <w:p w:rsidR="007E48D2" w:rsidRPr="006E15A3" w:rsidRDefault="007E48D2">
      <w:pPr>
        <w:rPr>
          <w:rFonts w:ascii="Arial" w:hAnsi="Arial" w:cs="Arial"/>
          <w:sz w:val="24"/>
          <w:szCs w:val="24"/>
          <w:lang w:val="es-ES"/>
        </w:rPr>
      </w:pPr>
    </w:p>
    <w:p w:rsidR="007E48D2" w:rsidRPr="006E15A3" w:rsidRDefault="007E48D2">
      <w:pPr>
        <w:rPr>
          <w:rFonts w:ascii="Arial" w:hAnsi="Arial" w:cs="Arial"/>
          <w:sz w:val="24"/>
          <w:szCs w:val="24"/>
          <w:lang w:val="es-ES"/>
        </w:rPr>
      </w:pPr>
    </w:p>
    <w:p w:rsidR="007E48D2" w:rsidRPr="006E15A3" w:rsidRDefault="007E48D2">
      <w:pPr>
        <w:rPr>
          <w:rFonts w:ascii="Arial" w:hAnsi="Arial" w:cs="Arial"/>
          <w:sz w:val="24"/>
          <w:szCs w:val="24"/>
          <w:lang w:val="es-ES"/>
        </w:rPr>
      </w:pPr>
    </w:p>
    <w:sectPr w:rsidR="007E48D2" w:rsidRPr="006E15A3" w:rsidSect="00D45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556CB1"/>
    <w:multiLevelType w:val="hybridMultilevel"/>
    <w:tmpl w:val="CEF07E1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37808"/>
    <w:multiLevelType w:val="hybridMultilevel"/>
    <w:tmpl w:val="1692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84FF0"/>
    <w:multiLevelType w:val="hybridMultilevel"/>
    <w:tmpl w:val="F2B6EC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F4F4694"/>
    <w:multiLevelType w:val="hybridMultilevel"/>
    <w:tmpl w:val="BA5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400A9"/>
    <w:rsid w:val="000400A9"/>
    <w:rsid w:val="00097F3B"/>
    <w:rsid w:val="000F012B"/>
    <w:rsid w:val="00130A92"/>
    <w:rsid w:val="002A021E"/>
    <w:rsid w:val="002B6848"/>
    <w:rsid w:val="00342211"/>
    <w:rsid w:val="003C5388"/>
    <w:rsid w:val="0060335C"/>
    <w:rsid w:val="006E15A3"/>
    <w:rsid w:val="00775C51"/>
    <w:rsid w:val="007E48D2"/>
    <w:rsid w:val="008E72DC"/>
    <w:rsid w:val="00CC59E4"/>
    <w:rsid w:val="00D45F15"/>
    <w:rsid w:val="00DB39EB"/>
    <w:rsid w:val="00DC7D91"/>
    <w:rsid w:val="00DE4BBB"/>
    <w:rsid w:val="00E91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F3B"/>
    <w:pPr>
      <w:ind w:left="720"/>
      <w:contextualSpacing/>
    </w:pPr>
  </w:style>
  <w:style w:type="paragraph" w:customStyle="1" w:styleId="texto">
    <w:name w:val="texto"/>
    <w:basedOn w:val="Normal"/>
    <w:rsid w:val="007E48D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7E48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F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7ED1-FF75-4FA3-B722-99839E21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Amelia</cp:lastModifiedBy>
  <cp:revision>6</cp:revision>
  <dcterms:created xsi:type="dcterms:W3CDTF">2020-04-06T19:12:00Z</dcterms:created>
  <dcterms:modified xsi:type="dcterms:W3CDTF">2020-04-07T20:01:00Z</dcterms:modified>
</cp:coreProperties>
</file>