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BF" w:rsidRPr="00A364BF" w:rsidRDefault="00A364BF" w:rsidP="00A364BF">
      <w:pPr>
        <w:autoSpaceDE w:val="0"/>
        <w:autoSpaceDN w:val="0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364B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Unidad 7: </w:t>
      </w:r>
      <w:r w:rsidRPr="00A364B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Reacciones </w:t>
      </w:r>
      <w:proofErr w:type="spellStart"/>
      <w:r w:rsidRPr="00A364BF">
        <w:rPr>
          <w:rFonts w:ascii="Arial" w:eastAsia="Times New Roman" w:hAnsi="Arial" w:cs="Arial"/>
          <w:sz w:val="24"/>
          <w:szCs w:val="24"/>
          <w:lang w:val="es-ES_tradnl" w:eastAsia="es-ES"/>
        </w:rPr>
        <w:t>postransfusionales</w:t>
      </w:r>
      <w:proofErr w:type="spellEnd"/>
      <w:r w:rsidRPr="00A364B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</w:p>
    <w:p w:rsidR="00A364BF" w:rsidRPr="00A364BF" w:rsidRDefault="00A364BF" w:rsidP="00A364BF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A364B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Objetivo </w:t>
      </w:r>
    </w:p>
    <w:p w:rsidR="00A364BF" w:rsidRPr="00A364BF" w:rsidRDefault="00A364BF" w:rsidP="00752D22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364B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Describir la clasificación de los diferentes tipos de reacciones transfusionales, </w:t>
      </w:r>
      <w:r w:rsidRPr="00A364BF">
        <w:rPr>
          <w:rFonts w:ascii="Arial" w:eastAsia="Times New Roman" w:hAnsi="Arial" w:cs="Arial"/>
          <w:sz w:val="24"/>
          <w:szCs w:val="24"/>
          <w:lang w:val="es-ES" w:eastAsia="es-ES"/>
        </w:rPr>
        <w:t>características fundamentales, manifestaciones clínicas y medidas de prevención.</w:t>
      </w:r>
    </w:p>
    <w:p w:rsidR="00A364BF" w:rsidRPr="00A364BF" w:rsidRDefault="00A364BF" w:rsidP="00A364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364BF" w:rsidRPr="00A364BF" w:rsidRDefault="00A364BF" w:rsidP="00A364BF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A364B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Orientaciones:</w:t>
      </w:r>
    </w:p>
    <w:p w:rsidR="00A364BF" w:rsidRPr="00A364BF" w:rsidRDefault="00A364BF" w:rsidP="00445088">
      <w:pPr>
        <w:pStyle w:val="Prrafodelista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64BF">
        <w:rPr>
          <w:rFonts w:ascii="Arial" w:eastAsia="Times New Roman" w:hAnsi="Arial" w:cs="Arial"/>
          <w:sz w:val="24"/>
          <w:szCs w:val="24"/>
          <w:lang w:val="es-ES" w:eastAsia="es-ES"/>
        </w:rPr>
        <w:t>Es importante referir que en la seguridad de la sangre y sus productos, 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 tratados con altos </w:t>
      </w:r>
      <w:r w:rsidRPr="00A364BF">
        <w:rPr>
          <w:rFonts w:ascii="Arial" w:eastAsia="Times New Roman" w:hAnsi="Arial" w:cs="Arial"/>
          <w:sz w:val="24"/>
          <w:szCs w:val="24"/>
          <w:lang w:val="es-ES" w:eastAsia="es-ES"/>
        </w:rPr>
        <w:t>estándares de calidad en la selección de donantes, recolección de la sangre, tamizaje, procesamiento y almacenamiento, persiste un riesgo de infecciones transmisibles por la transfusión y otros efectos adversos, que pueden ponerse de manifiesto</w:t>
      </w:r>
    </w:p>
    <w:p w:rsidR="00A364BF" w:rsidRPr="00A364BF" w:rsidRDefault="00A364BF" w:rsidP="00822D78">
      <w:pPr>
        <w:pStyle w:val="Prrafodelista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64BF">
        <w:rPr>
          <w:rFonts w:ascii="Arial" w:eastAsia="Times New Roman" w:hAnsi="Arial" w:cs="Arial"/>
          <w:sz w:val="24"/>
          <w:szCs w:val="24"/>
          <w:lang w:val="es-ES" w:eastAsia="es-ES"/>
        </w:rPr>
        <w:t>. Destacar que la seguridad del acto transfusional se basa en una cuidadosa evaluación de los riesgos y beneficios para el paciente.</w:t>
      </w:r>
    </w:p>
    <w:p w:rsidR="00A364BF" w:rsidRPr="00A364BF" w:rsidRDefault="00A364BF" w:rsidP="00BA434A">
      <w:pPr>
        <w:pStyle w:val="Prrafodelista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364B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Explicar además, que </w:t>
      </w:r>
      <w:r w:rsidRPr="00A364BF">
        <w:rPr>
          <w:rFonts w:ascii="Arial" w:eastAsia="Times New Roman" w:hAnsi="Arial" w:cs="Arial"/>
          <w:sz w:val="24"/>
          <w:szCs w:val="24"/>
          <w:lang w:val="es-ES_tradnl" w:eastAsia="es-ES"/>
        </w:rPr>
        <w:t>la ocurrencia de las reacciones de tipo agudo sobrevienen inmediatamente y hasta las primeras 24 horas, las consideradas tardías pueden aparecer después de haber pasado semanas, meses y hasta años.</w:t>
      </w:r>
    </w:p>
    <w:p w:rsidR="00A364BF" w:rsidRPr="00A364BF" w:rsidRDefault="00A364BF" w:rsidP="0087334F">
      <w:pPr>
        <w:pStyle w:val="Prrafodelista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364BF">
        <w:rPr>
          <w:rFonts w:ascii="Arial" w:eastAsia="Times New Roman" w:hAnsi="Arial" w:cs="Arial"/>
          <w:sz w:val="24"/>
          <w:szCs w:val="24"/>
          <w:lang w:val="es-ES_tradnl" w:eastAsia="es-ES"/>
        </w:rPr>
        <w:t>Al abordar la reacción hemolítica inmediata, destacar las causas, manifestaciones clínicas y la importancia del aseguramiento técnico administrativo para prevenirla.</w:t>
      </w:r>
    </w:p>
    <w:p w:rsidR="00A364BF" w:rsidRPr="00A364BF" w:rsidRDefault="00A364BF" w:rsidP="00142A44">
      <w:pPr>
        <w:pStyle w:val="Prrafodelista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364B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Enfatizar en la conducta a seguir por el técnico ante una reacción transfusional, y la implicación legal que lleva consigo el incumplimiento del protocolo de trabajo establecido. </w:t>
      </w:r>
    </w:p>
    <w:p w:rsidR="00A364BF" w:rsidRPr="00A364BF" w:rsidRDefault="00A364BF" w:rsidP="00F23197">
      <w:pPr>
        <w:pStyle w:val="Prrafodelista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364BF">
        <w:rPr>
          <w:rFonts w:ascii="Arial" w:eastAsia="Times New Roman" w:hAnsi="Arial" w:cs="Arial"/>
          <w:sz w:val="24"/>
          <w:szCs w:val="24"/>
          <w:lang w:val="es-ES_tradnl" w:eastAsia="es-ES"/>
        </w:rPr>
        <w:t>Explicar la importancia que reviste disponer de un protocolo detallado de evaluación y detección de las reacciones transfusionales, especificando aspectos tales como: Tipo de reacción, pautas terapéuticas a seguir, protocolo para transfusiones posteriores, enfatizando en que todo el personal debe tener conocimiento de la existencia de este documento y destacar que su revisión debe realizarse periódicamente.</w:t>
      </w:r>
    </w:p>
    <w:p w:rsidR="00A364BF" w:rsidRPr="00A364BF" w:rsidRDefault="00A364BF" w:rsidP="00A364B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364BF" w:rsidRPr="00A364BF" w:rsidRDefault="00A364BF" w:rsidP="00A364B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64BF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Para su mejor estudio las reacciones transfusionales se clasifican en </w:t>
      </w:r>
      <w:r w:rsidRPr="00A364BF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INMUNOLÓGICAS y NO INMUNOLÓGICAS</w:t>
      </w:r>
      <w:r w:rsidRPr="00A364B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</w:t>
      </w:r>
      <w:r w:rsidRPr="00A364BF">
        <w:rPr>
          <w:rFonts w:ascii="Arial" w:eastAsia="Times New Roman" w:hAnsi="Arial" w:cs="Arial"/>
          <w:sz w:val="24"/>
          <w:szCs w:val="24"/>
          <w:lang w:val="es-ES" w:eastAsia="es-ES"/>
        </w:rPr>
        <w:t>y cada una de ellas a su vez en</w:t>
      </w:r>
      <w:r w:rsidRPr="00A364B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A364BF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INMEDIATAS y TARDÍAS, </w:t>
      </w:r>
      <w:r w:rsidRPr="00A364BF">
        <w:rPr>
          <w:rFonts w:ascii="Arial" w:eastAsia="Times New Roman" w:hAnsi="Arial" w:cs="Arial"/>
          <w:sz w:val="24"/>
          <w:szCs w:val="24"/>
          <w:lang w:val="es-ES" w:eastAsia="es-ES"/>
        </w:rPr>
        <w:t>según el tiempo de aparición.</w:t>
      </w:r>
    </w:p>
    <w:p w:rsidR="00A364BF" w:rsidRPr="00A63EAC" w:rsidRDefault="00A364BF" w:rsidP="00A364BF">
      <w:pPr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2588"/>
        <w:gridCol w:w="2579"/>
      </w:tblGrid>
      <w:tr w:rsidR="00A364BF" w:rsidRPr="00A63EAC" w:rsidTr="00E43DFC">
        <w:tc>
          <w:tcPr>
            <w:tcW w:w="2881" w:type="dxa"/>
            <w:tcBorders>
              <w:top w:val="nil"/>
              <w:left w:val="nil"/>
            </w:tcBorders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2881" w:type="dxa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A63EAC">
              <w:rPr>
                <w:rFonts w:ascii="Arial" w:eastAsia="Times New Roman" w:hAnsi="Arial" w:cs="Arial"/>
                <w:b/>
                <w:lang w:val="es-ES" w:eastAsia="es-ES"/>
              </w:rPr>
              <w:t>INMUNOLOGICAS</w:t>
            </w:r>
          </w:p>
        </w:tc>
        <w:tc>
          <w:tcPr>
            <w:tcW w:w="2882" w:type="dxa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A63EAC">
              <w:rPr>
                <w:rFonts w:ascii="Arial" w:eastAsia="Times New Roman" w:hAnsi="Arial" w:cs="Arial"/>
                <w:b/>
                <w:lang w:val="es-ES" w:eastAsia="es-ES"/>
              </w:rPr>
              <w:t>NO INMUNOLOGICAS</w:t>
            </w:r>
          </w:p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A364BF" w:rsidRPr="00A63EAC" w:rsidTr="00E43DFC">
        <w:tc>
          <w:tcPr>
            <w:tcW w:w="2881" w:type="dxa"/>
            <w:vMerge w:val="restart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50800</wp:posOffset>
                      </wp:positionV>
                      <wp:extent cx="552450" cy="952500"/>
                      <wp:effectExtent l="0" t="0" r="19050" b="19050"/>
                      <wp:wrapNone/>
                      <wp:docPr id="6" name="Abrir llav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2450" cy="952500"/>
                              </a:xfrm>
                              <a:prstGeom prst="leftBrace">
                                <a:avLst>
                                  <a:gd name="adj1" fmla="val 1436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77619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brir llave 6" o:spid="_x0000_s1026" type="#_x0000_t87" style="position:absolute;margin-left:84.45pt;margin-top:4pt;width:43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BhAIAAC4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"/>
                  </w:pict>
                </mc:Fallback>
              </mc:AlternateContent>
            </w:r>
          </w:p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A63EAC">
              <w:rPr>
                <w:rFonts w:ascii="Arial" w:eastAsia="Times New Roman" w:hAnsi="Arial" w:cs="Arial"/>
                <w:b/>
                <w:lang w:val="es-ES" w:eastAsia="es-ES"/>
              </w:rPr>
              <w:t>INMEDIATAS</w:t>
            </w:r>
          </w:p>
        </w:tc>
        <w:tc>
          <w:tcPr>
            <w:tcW w:w="2881" w:type="dxa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A63EAC">
              <w:rPr>
                <w:rFonts w:ascii="Arial" w:eastAsia="Times New Roman" w:hAnsi="Arial" w:cs="Arial"/>
                <w:lang w:val="es-ES" w:eastAsia="es-ES"/>
              </w:rPr>
              <w:t>Hemólisis inmediata.</w:t>
            </w:r>
          </w:p>
        </w:tc>
        <w:tc>
          <w:tcPr>
            <w:tcW w:w="2882" w:type="dxa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A63EAC">
              <w:rPr>
                <w:rFonts w:ascii="Arial" w:eastAsia="Times New Roman" w:hAnsi="Arial" w:cs="Arial"/>
                <w:lang w:val="es-ES" w:eastAsia="es-ES"/>
              </w:rPr>
              <w:t>Contaminación bacteriana.</w:t>
            </w:r>
          </w:p>
        </w:tc>
      </w:tr>
      <w:tr w:rsidR="00A364BF" w:rsidRPr="00A63EAC" w:rsidTr="00E43DFC">
        <w:tc>
          <w:tcPr>
            <w:tcW w:w="2881" w:type="dxa"/>
            <w:vMerge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2881" w:type="dxa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A63EAC">
              <w:rPr>
                <w:rFonts w:ascii="Arial" w:eastAsia="Times New Roman" w:hAnsi="Arial" w:cs="Arial"/>
                <w:lang w:val="es-ES" w:eastAsia="es-ES"/>
              </w:rPr>
              <w:t>Anafilaxia.</w:t>
            </w:r>
          </w:p>
        </w:tc>
        <w:tc>
          <w:tcPr>
            <w:tcW w:w="2882" w:type="dxa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A63EAC">
              <w:rPr>
                <w:rFonts w:ascii="Arial" w:eastAsia="Times New Roman" w:hAnsi="Arial" w:cs="Arial"/>
                <w:lang w:val="es-ES" w:eastAsia="es-ES"/>
              </w:rPr>
              <w:t>Hemólisis no inmune.</w:t>
            </w:r>
          </w:p>
        </w:tc>
      </w:tr>
      <w:tr w:rsidR="00A364BF" w:rsidRPr="00A63EAC" w:rsidTr="00E43DFC">
        <w:tc>
          <w:tcPr>
            <w:tcW w:w="2881" w:type="dxa"/>
            <w:vMerge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2881" w:type="dxa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A63EAC">
              <w:rPr>
                <w:rFonts w:ascii="Arial" w:eastAsia="Times New Roman" w:hAnsi="Arial" w:cs="Arial"/>
                <w:lang w:val="es-ES" w:eastAsia="es-ES"/>
              </w:rPr>
              <w:t>Urticaria.</w:t>
            </w:r>
          </w:p>
        </w:tc>
        <w:tc>
          <w:tcPr>
            <w:tcW w:w="2882" w:type="dxa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A63EAC">
              <w:rPr>
                <w:rFonts w:ascii="Arial" w:eastAsia="Times New Roman" w:hAnsi="Arial" w:cs="Arial"/>
                <w:lang w:val="es-ES" w:eastAsia="es-ES"/>
              </w:rPr>
              <w:t>Sobrecarga de citrato.</w:t>
            </w:r>
          </w:p>
        </w:tc>
      </w:tr>
      <w:tr w:rsidR="00A364BF" w:rsidRPr="00A63EAC" w:rsidTr="00E43DFC">
        <w:tc>
          <w:tcPr>
            <w:tcW w:w="2881" w:type="dxa"/>
            <w:vMerge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2881" w:type="dxa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A63EAC">
              <w:rPr>
                <w:rFonts w:ascii="Arial" w:eastAsia="Times New Roman" w:hAnsi="Arial" w:cs="Arial"/>
                <w:lang w:val="es-ES" w:eastAsia="es-ES"/>
              </w:rPr>
              <w:t>Reacción febril no hemolítica.</w:t>
            </w:r>
          </w:p>
        </w:tc>
        <w:tc>
          <w:tcPr>
            <w:tcW w:w="2882" w:type="dxa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A63EAC">
              <w:rPr>
                <w:rFonts w:ascii="Arial" w:eastAsia="Times New Roman" w:hAnsi="Arial" w:cs="Arial"/>
                <w:lang w:val="es-ES" w:eastAsia="es-ES"/>
              </w:rPr>
              <w:t>Sobrecarga de potasio.</w:t>
            </w:r>
          </w:p>
        </w:tc>
      </w:tr>
      <w:tr w:rsidR="00A364BF" w:rsidRPr="00A63EAC" w:rsidTr="00E43DFC">
        <w:tc>
          <w:tcPr>
            <w:tcW w:w="2881" w:type="dxa"/>
            <w:vMerge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2881" w:type="dxa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A63EAC">
              <w:rPr>
                <w:rFonts w:ascii="Arial" w:eastAsia="Times New Roman" w:hAnsi="Arial" w:cs="Arial"/>
                <w:lang w:val="es-ES" w:eastAsia="es-ES"/>
              </w:rPr>
              <w:t>Daño pulmonar agudo.</w:t>
            </w:r>
          </w:p>
        </w:tc>
        <w:tc>
          <w:tcPr>
            <w:tcW w:w="2882" w:type="dxa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A63EAC">
              <w:rPr>
                <w:rFonts w:ascii="Arial" w:eastAsia="Times New Roman" w:hAnsi="Arial" w:cs="Arial"/>
                <w:lang w:val="es-ES" w:eastAsia="es-ES"/>
              </w:rPr>
              <w:t>Sobrecarga de volumen.</w:t>
            </w:r>
          </w:p>
        </w:tc>
      </w:tr>
      <w:tr w:rsidR="00A364BF" w:rsidRPr="00A63EAC" w:rsidTr="00E43DFC">
        <w:trPr>
          <w:trHeight w:val="516"/>
        </w:trPr>
        <w:tc>
          <w:tcPr>
            <w:tcW w:w="2881" w:type="dxa"/>
            <w:shd w:val="clear" w:color="auto" w:fill="D6E3BC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2881" w:type="dxa"/>
            <w:shd w:val="clear" w:color="auto" w:fill="D6E3BC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2882" w:type="dxa"/>
            <w:shd w:val="clear" w:color="auto" w:fill="D6E3BC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A364BF" w:rsidRPr="00A63EAC" w:rsidTr="00E43DFC">
        <w:tc>
          <w:tcPr>
            <w:tcW w:w="2881" w:type="dxa"/>
            <w:vMerge w:val="restart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39370</wp:posOffset>
                      </wp:positionV>
                      <wp:extent cx="676275" cy="962025"/>
                      <wp:effectExtent l="0" t="0" r="28575" b="28575"/>
                      <wp:wrapNone/>
                      <wp:docPr id="5" name="Abrir llav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6275" cy="962025"/>
                              </a:xfrm>
                              <a:prstGeom prst="leftBrace">
                                <a:avLst>
                                  <a:gd name="adj1" fmla="val 1185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F7CF5" id="Abrir llave 5" o:spid="_x0000_s1026" type="#_x0000_t87" style="position:absolute;margin-left:70.2pt;margin-top:3.1pt;width:53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"/>
                  </w:pict>
                </mc:Fallback>
              </mc:AlternateContent>
            </w:r>
          </w:p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A63EAC">
              <w:rPr>
                <w:rFonts w:ascii="Arial" w:eastAsia="Times New Roman" w:hAnsi="Arial" w:cs="Arial"/>
                <w:b/>
                <w:lang w:val="es-ES" w:eastAsia="es-ES"/>
              </w:rPr>
              <w:t>TARDIAS</w:t>
            </w:r>
          </w:p>
        </w:tc>
        <w:tc>
          <w:tcPr>
            <w:tcW w:w="2881" w:type="dxa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A63EAC">
              <w:rPr>
                <w:rFonts w:ascii="Arial" w:eastAsia="Times New Roman" w:hAnsi="Arial" w:cs="Arial"/>
                <w:lang w:val="es-ES" w:eastAsia="es-ES"/>
              </w:rPr>
              <w:t>Hemólisis  retardada.</w:t>
            </w:r>
          </w:p>
        </w:tc>
        <w:tc>
          <w:tcPr>
            <w:tcW w:w="2882" w:type="dxa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A63EAC">
              <w:rPr>
                <w:rFonts w:ascii="Arial" w:eastAsia="Times New Roman" w:hAnsi="Arial" w:cs="Arial"/>
                <w:lang w:val="es-ES" w:eastAsia="es-ES"/>
              </w:rPr>
              <w:t>Transmisión de infecciones.</w:t>
            </w:r>
          </w:p>
        </w:tc>
      </w:tr>
      <w:tr w:rsidR="00A364BF" w:rsidRPr="00A63EAC" w:rsidTr="00E43DFC">
        <w:tc>
          <w:tcPr>
            <w:tcW w:w="2881" w:type="dxa"/>
            <w:vMerge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2881" w:type="dxa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A63EAC">
              <w:rPr>
                <w:rFonts w:ascii="Arial" w:eastAsia="Times New Roman" w:hAnsi="Arial" w:cs="Arial"/>
                <w:lang w:val="es-ES" w:eastAsia="es-ES"/>
              </w:rPr>
              <w:t xml:space="preserve">Púrpura </w:t>
            </w:r>
            <w:proofErr w:type="spellStart"/>
            <w:r w:rsidRPr="00A63EAC">
              <w:rPr>
                <w:rFonts w:ascii="Arial" w:eastAsia="Times New Roman" w:hAnsi="Arial" w:cs="Arial"/>
                <w:lang w:val="es-ES" w:eastAsia="es-ES"/>
              </w:rPr>
              <w:t>postransfusional</w:t>
            </w:r>
            <w:proofErr w:type="spellEnd"/>
            <w:r w:rsidRPr="00A63EAC">
              <w:rPr>
                <w:rFonts w:ascii="Arial" w:eastAsia="Times New Roman" w:hAnsi="Arial" w:cs="Arial"/>
                <w:lang w:val="es-ES" w:eastAsia="es-ES"/>
              </w:rPr>
              <w:t>.</w:t>
            </w:r>
          </w:p>
        </w:tc>
        <w:tc>
          <w:tcPr>
            <w:tcW w:w="2882" w:type="dxa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proofErr w:type="spellStart"/>
            <w:r w:rsidRPr="00A63EAC">
              <w:rPr>
                <w:rFonts w:ascii="Arial" w:eastAsia="Times New Roman" w:hAnsi="Arial" w:cs="Arial"/>
                <w:lang w:val="es-ES" w:eastAsia="es-ES"/>
              </w:rPr>
              <w:t>Hemosiderosis</w:t>
            </w:r>
            <w:proofErr w:type="spellEnd"/>
            <w:r w:rsidRPr="00A63EAC">
              <w:rPr>
                <w:rFonts w:ascii="Arial" w:eastAsia="Times New Roman" w:hAnsi="Arial" w:cs="Arial"/>
                <w:lang w:val="es-ES" w:eastAsia="es-ES"/>
              </w:rPr>
              <w:t>.</w:t>
            </w:r>
          </w:p>
        </w:tc>
      </w:tr>
      <w:tr w:rsidR="00A364BF" w:rsidRPr="00A63EAC" w:rsidTr="00E43DFC">
        <w:tc>
          <w:tcPr>
            <w:tcW w:w="2881" w:type="dxa"/>
            <w:vMerge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2881" w:type="dxa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A63EAC">
              <w:rPr>
                <w:rFonts w:ascii="Arial" w:eastAsia="Times New Roman" w:hAnsi="Arial" w:cs="Arial"/>
                <w:lang w:val="es-ES" w:eastAsia="es-ES"/>
              </w:rPr>
              <w:t>Reacción de injerto contra huésped.</w:t>
            </w:r>
          </w:p>
        </w:tc>
        <w:tc>
          <w:tcPr>
            <w:tcW w:w="2882" w:type="dxa"/>
            <w:vMerge w:val="restart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A364BF" w:rsidRPr="00A63EAC" w:rsidTr="00E43DFC">
        <w:tc>
          <w:tcPr>
            <w:tcW w:w="2881" w:type="dxa"/>
            <w:vMerge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2881" w:type="dxa"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proofErr w:type="spellStart"/>
            <w:r w:rsidRPr="00A63EAC">
              <w:rPr>
                <w:rFonts w:ascii="Arial" w:eastAsia="Times New Roman" w:hAnsi="Arial" w:cs="Arial"/>
                <w:lang w:val="es-ES" w:eastAsia="es-ES"/>
              </w:rPr>
              <w:t>Inmunomodulación</w:t>
            </w:r>
            <w:proofErr w:type="spellEnd"/>
            <w:r w:rsidRPr="00A63EAC">
              <w:rPr>
                <w:rFonts w:ascii="Arial" w:eastAsia="Times New Roman" w:hAnsi="Arial" w:cs="Arial"/>
                <w:lang w:val="es-ES" w:eastAsia="es-ES"/>
              </w:rPr>
              <w:t>.</w:t>
            </w:r>
          </w:p>
        </w:tc>
        <w:tc>
          <w:tcPr>
            <w:tcW w:w="2882" w:type="dxa"/>
            <w:vMerge/>
          </w:tcPr>
          <w:p w:rsidR="00A364BF" w:rsidRPr="00A63EAC" w:rsidRDefault="00A364BF" w:rsidP="00E43D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</w:tbl>
    <w:p w:rsidR="00A364BF" w:rsidRDefault="00A364BF" w:rsidP="00A364BF">
      <w:pPr>
        <w:rPr>
          <w:rFonts w:ascii="Arial" w:eastAsia="Times New Roman" w:hAnsi="Arial" w:cs="Arial"/>
          <w:lang w:val="es-ES_tradnl" w:eastAsia="es-ES"/>
        </w:rPr>
      </w:pPr>
    </w:p>
    <w:p w:rsidR="00A364BF" w:rsidRDefault="00A364BF" w:rsidP="00A364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364BF" w:rsidRPr="00A364BF" w:rsidRDefault="00A364BF" w:rsidP="00A364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364B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transfusión de sangre es el trasplante de tejido más frecuente que se realiza y que a pesar de los cuidados lleva a eventos adversos, con la aparición de diferentes complicaciones, que ponen en riesgo la vida del paciente. </w:t>
      </w:r>
    </w:p>
    <w:p w:rsidR="00A364BF" w:rsidRDefault="00A364BF" w:rsidP="00A364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364BF">
        <w:rPr>
          <w:rFonts w:ascii="Arial" w:eastAsia="Times New Roman" w:hAnsi="Arial" w:cs="Arial"/>
          <w:sz w:val="24"/>
          <w:szCs w:val="24"/>
          <w:lang w:val="es-ES_tradnl" w:eastAsia="es-ES"/>
        </w:rPr>
        <w:t>Se recomienda para su mejor estudio y comprensión realizar cuadro que recoja concepto, etiopatogenia, manifestaciones clínicas y prevención, teniendo en cuenta la clasificación de las mismas según el mecanismo de acción (inmunológica y no inmunológica) y el momento de aparición (inmediata y tardía) así como los tipos de hemólisis (</w:t>
      </w:r>
      <w:proofErr w:type="spellStart"/>
      <w:r w:rsidRPr="00A364BF">
        <w:rPr>
          <w:rFonts w:ascii="Arial" w:eastAsia="Times New Roman" w:hAnsi="Arial" w:cs="Arial"/>
          <w:sz w:val="24"/>
          <w:szCs w:val="24"/>
          <w:lang w:val="es-ES_tradnl" w:eastAsia="es-ES"/>
        </w:rPr>
        <w:t>intravascular</w:t>
      </w:r>
      <w:proofErr w:type="spellEnd"/>
      <w:r w:rsidRPr="00A364B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extravascular) que pueden producir y la repercusión en el paciente.</w:t>
      </w:r>
    </w:p>
    <w:p w:rsidR="00A364BF" w:rsidRDefault="00A364BF">
      <w:pPr>
        <w:spacing w:after="160" w:line="259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2349"/>
        <w:gridCol w:w="1850"/>
        <w:gridCol w:w="1559"/>
        <w:gridCol w:w="1510"/>
      </w:tblGrid>
      <w:tr w:rsidR="00A364BF" w:rsidRPr="005E040F" w:rsidTr="00A364BF">
        <w:tc>
          <w:tcPr>
            <w:tcW w:w="8494" w:type="dxa"/>
            <w:gridSpan w:val="5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lastRenderedPageBreak/>
              <w:t>REACCIONES INMUNOLÓGICAS INMEDIATAS:</w:t>
            </w:r>
          </w:p>
        </w:tc>
      </w:tr>
      <w:tr w:rsidR="00A364BF" w:rsidRPr="005E040F" w:rsidTr="00A364BF">
        <w:tc>
          <w:tcPr>
            <w:tcW w:w="1226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34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Manifestaciones clínicas</w:t>
            </w:r>
          </w:p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(signos y síntomas)</w:t>
            </w:r>
          </w:p>
        </w:tc>
        <w:tc>
          <w:tcPr>
            <w:tcW w:w="185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Etiopatogenia</w:t>
            </w:r>
          </w:p>
        </w:tc>
        <w:tc>
          <w:tcPr>
            <w:tcW w:w="155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Tipo de hemólisis</w:t>
            </w:r>
          </w:p>
        </w:tc>
        <w:tc>
          <w:tcPr>
            <w:tcW w:w="151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Prevención</w:t>
            </w:r>
          </w:p>
        </w:tc>
      </w:tr>
      <w:tr w:rsidR="00A364BF" w:rsidRPr="005E040F" w:rsidTr="00A364BF">
        <w:tc>
          <w:tcPr>
            <w:tcW w:w="1226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34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85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1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364BF" w:rsidRPr="005E040F" w:rsidTr="00A364BF">
        <w:tc>
          <w:tcPr>
            <w:tcW w:w="1226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34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85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1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364BF" w:rsidRPr="005E040F" w:rsidTr="00A364BF">
        <w:tc>
          <w:tcPr>
            <w:tcW w:w="1226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34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85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1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364BF" w:rsidRPr="005E040F" w:rsidTr="00A364BF">
        <w:tc>
          <w:tcPr>
            <w:tcW w:w="8494" w:type="dxa"/>
            <w:gridSpan w:val="5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REACCIONES INMUNOLÓGICAS TARDÍAS:</w:t>
            </w:r>
          </w:p>
        </w:tc>
      </w:tr>
      <w:tr w:rsidR="00A364BF" w:rsidRPr="005E040F" w:rsidTr="00A364BF">
        <w:tc>
          <w:tcPr>
            <w:tcW w:w="1226" w:type="dxa"/>
            <w:shd w:val="clear" w:color="auto" w:fill="auto"/>
          </w:tcPr>
          <w:p w:rsidR="00A364BF" w:rsidRPr="005E040F" w:rsidRDefault="00A364BF" w:rsidP="00E43D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34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Manifestaciones clínicas</w:t>
            </w:r>
          </w:p>
          <w:p w:rsidR="00A364BF" w:rsidRPr="005E040F" w:rsidRDefault="00A364BF" w:rsidP="00E43D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(signos y síntomas)</w:t>
            </w:r>
          </w:p>
        </w:tc>
        <w:tc>
          <w:tcPr>
            <w:tcW w:w="1850" w:type="dxa"/>
            <w:shd w:val="clear" w:color="auto" w:fill="auto"/>
          </w:tcPr>
          <w:p w:rsidR="00A364BF" w:rsidRPr="005E040F" w:rsidRDefault="00A364BF" w:rsidP="00E43D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Etiopatogenia</w:t>
            </w:r>
          </w:p>
        </w:tc>
        <w:tc>
          <w:tcPr>
            <w:tcW w:w="1559" w:type="dxa"/>
            <w:shd w:val="clear" w:color="auto" w:fill="auto"/>
          </w:tcPr>
          <w:p w:rsidR="00A364BF" w:rsidRPr="005E040F" w:rsidRDefault="00A364BF" w:rsidP="00E43D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Tipo de hemólisis</w:t>
            </w:r>
          </w:p>
        </w:tc>
        <w:tc>
          <w:tcPr>
            <w:tcW w:w="1510" w:type="dxa"/>
            <w:shd w:val="clear" w:color="auto" w:fill="auto"/>
          </w:tcPr>
          <w:p w:rsidR="00A364BF" w:rsidRPr="005E040F" w:rsidRDefault="00A364BF" w:rsidP="00E43D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Prevención</w:t>
            </w:r>
          </w:p>
        </w:tc>
      </w:tr>
      <w:tr w:rsidR="00A364BF" w:rsidRPr="005E040F" w:rsidTr="00A364BF">
        <w:tc>
          <w:tcPr>
            <w:tcW w:w="1226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34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85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1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364BF" w:rsidRPr="005E040F" w:rsidTr="00A364BF">
        <w:tc>
          <w:tcPr>
            <w:tcW w:w="1226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34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85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1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364BF" w:rsidRPr="005E040F" w:rsidTr="00A364BF">
        <w:tc>
          <w:tcPr>
            <w:tcW w:w="1226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34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85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1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364BF" w:rsidRPr="005E040F" w:rsidTr="00A364BF">
        <w:tc>
          <w:tcPr>
            <w:tcW w:w="1226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34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85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1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364BF" w:rsidRPr="005E040F" w:rsidTr="00A364BF">
        <w:tc>
          <w:tcPr>
            <w:tcW w:w="8494" w:type="dxa"/>
            <w:gridSpan w:val="5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REACCIONES NO INMUNOLÓGICAS INMEDIATAS:</w:t>
            </w:r>
          </w:p>
        </w:tc>
      </w:tr>
      <w:tr w:rsidR="00A364BF" w:rsidRPr="005E040F" w:rsidTr="00A364BF">
        <w:tc>
          <w:tcPr>
            <w:tcW w:w="1226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34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Manifestaciones clínicas</w:t>
            </w:r>
          </w:p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(signos y síntomas)</w:t>
            </w:r>
          </w:p>
        </w:tc>
        <w:tc>
          <w:tcPr>
            <w:tcW w:w="1850" w:type="dxa"/>
            <w:shd w:val="clear" w:color="auto" w:fill="auto"/>
          </w:tcPr>
          <w:p w:rsidR="00A364BF" w:rsidRPr="005E040F" w:rsidRDefault="00A364BF" w:rsidP="00E43D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Etiopatogenia</w:t>
            </w:r>
          </w:p>
        </w:tc>
        <w:tc>
          <w:tcPr>
            <w:tcW w:w="1559" w:type="dxa"/>
            <w:shd w:val="clear" w:color="auto" w:fill="auto"/>
          </w:tcPr>
          <w:p w:rsidR="00A364BF" w:rsidRPr="005E040F" w:rsidRDefault="00A364BF" w:rsidP="00E43D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Tipo de hemólisis</w:t>
            </w:r>
          </w:p>
        </w:tc>
        <w:tc>
          <w:tcPr>
            <w:tcW w:w="1510" w:type="dxa"/>
            <w:shd w:val="clear" w:color="auto" w:fill="auto"/>
          </w:tcPr>
          <w:p w:rsidR="00A364BF" w:rsidRPr="005E040F" w:rsidRDefault="00A364BF" w:rsidP="00E43D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Prevención</w:t>
            </w:r>
          </w:p>
        </w:tc>
      </w:tr>
      <w:tr w:rsidR="00A364BF" w:rsidRPr="005E040F" w:rsidTr="00A364BF">
        <w:tc>
          <w:tcPr>
            <w:tcW w:w="1226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34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85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1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364BF" w:rsidRPr="005E040F" w:rsidTr="00A364BF">
        <w:tc>
          <w:tcPr>
            <w:tcW w:w="1226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34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85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1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364BF" w:rsidRPr="005E040F" w:rsidTr="00A364BF">
        <w:tc>
          <w:tcPr>
            <w:tcW w:w="1226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34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85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1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364BF" w:rsidRPr="005E040F" w:rsidTr="00A364BF">
        <w:tc>
          <w:tcPr>
            <w:tcW w:w="8494" w:type="dxa"/>
            <w:gridSpan w:val="5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REACCIONES INMUNOLÓGICAS TARDÍAS:</w:t>
            </w:r>
          </w:p>
        </w:tc>
      </w:tr>
      <w:tr w:rsidR="00A364BF" w:rsidRPr="005E040F" w:rsidTr="00A364BF">
        <w:tc>
          <w:tcPr>
            <w:tcW w:w="1226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34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Manifestaciones clínicas</w:t>
            </w:r>
          </w:p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(signos y síntomas)</w:t>
            </w:r>
          </w:p>
        </w:tc>
        <w:tc>
          <w:tcPr>
            <w:tcW w:w="1850" w:type="dxa"/>
            <w:shd w:val="clear" w:color="auto" w:fill="auto"/>
          </w:tcPr>
          <w:p w:rsidR="00A364BF" w:rsidRPr="005E040F" w:rsidRDefault="00A364BF" w:rsidP="00E43D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Etiopatogenia</w:t>
            </w:r>
          </w:p>
        </w:tc>
        <w:tc>
          <w:tcPr>
            <w:tcW w:w="1559" w:type="dxa"/>
            <w:shd w:val="clear" w:color="auto" w:fill="auto"/>
          </w:tcPr>
          <w:p w:rsidR="00A364BF" w:rsidRPr="005E040F" w:rsidRDefault="00A364BF" w:rsidP="00E43D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Tipo de hemólisis</w:t>
            </w:r>
          </w:p>
        </w:tc>
        <w:tc>
          <w:tcPr>
            <w:tcW w:w="1510" w:type="dxa"/>
            <w:shd w:val="clear" w:color="auto" w:fill="auto"/>
          </w:tcPr>
          <w:p w:rsidR="00A364BF" w:rsidRPr="005E040F" w:rsidRDefault="00A364BF" w:rsidP="00E43DF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5E040F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Prevención</w:t>
            </w:r>
          </w:p>
        </w:tc>
      </w:tr>
      <w:tr w:rsidR="00A364BF" w:rsidRPr="005E040F" w:rsidTr="00A364BF">
        <w:tc>
          <w:tcPr>
            <w:tcW w:w="1226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34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85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1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364BF" w:rsidRPr="005E040F" w:rsidTr="00A364BF">
        <w:tc>
          <w:tcPr>
            <w:tcW w:w="1226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34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85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1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A364BF" w:rsidRPr="005E040F" w:rsidTr="00A364BF">
        <w:tc>
          <w:tcPr>
            <w:tcW w:w="1226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234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85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1510" w:type="dxa"/>
            <w:shd w:val="clear" w:color="auto" w:fill="auto"/>
          </w:tcPr>
          <w:p w:rsidR="00A364BF" w:rsidRPr="005E040F" w:rsidRDefault="00A364BF" w:rsidP="00E43DF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</w:tbl>
    <w:p w:rsidR="00A364BF" w:rsidRDefault="00A364BF" w:rsidP="00A364BF">
      <w:pPr>
        <w:rPr>
          <w:rFonts w:ascii="Arial" w:eastAsia="Times New Roman" w:hAnsi="Arial" w:cs="Arial"/>
          <w:lang w:val="es-ES" w:eastAsia="es-ES"/>
        </w:rPr>
      </w:pPr>
    </w:p>
    <w:p w:rsidR="00A364BF" w:rsidRPr="00A364BF" w:rsidRDefault="00A364BF" w:rsidP="00A364B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bookmarkStart w:id="0" w:name="_GoBack"/>
      <w:r w:rsidRPr="00A364BF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lastRenderedPageBreak/>
        <w:t>ANTE CUALQUIER REACCIÓN DEBEN EMPRENDERSE LAS SIGUIENTES ACCIONES:</w:t>
      </w:r>
    </w:p>
    <w:p w:rsidR="00A364BF" w:rsidRPr="00A364BF" w:rsidRDefault="00A364BF" w:rsidP="00A364B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64BF">
        <w:rPr>
          <w:rFonts w:ascii="Arial" w:eastAsia="Times New Roman" w:hAnsi="Arial" w:cs="Arial"/>
          <w:sz w:val="24"/>
          <w:szCs w:val="24"/>
          <w:lang w:val="es-ES" w:eastAsia="es-ES"/>
        </w:rPr>
        <w:t>Detener inmediatamente la transfusión.</w:t>
      </w:r>
    </w:p>
    <w:p w:rsidR="00A364BF" w:rsidRPr="00A364BF" w:rsidRDefault="00A364BF" w:rsidP="00A364B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64BF">
        <w:rPr>
          <w:rFonts w:ascii="Arial" w:eastAsia="Times New Roman" w:hAnsi="Arial" w:cs="Arial"/>
          <w:sz w:val="24"/>
          <w:szCs w:val="24"/>
          <w:lang w:val="es-ES" w:eastAsia="es-ES"/>
        </w:rPr>
        <w:t>Avisar al médico responsable.</w:t>
      </w:r>
    </w:p>
    <w:p w:rsidR="00A364BF" w:rsidRPr="00A364BF" w:rsidRDefault="00A364BF" w:rsidP="00A364B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64BF">
        <w:rPr>
          <w:rFonts w:ascii="Arial" w:eastAsia="Times New Roman" w:hAnsi="Arial" w:cs="Arial"/>
          <w:sz w:val="24"/>
          <w:szCs w:val="24"/>
          <w:lang w:val="es-ES" w:eastAsia="es-ES"/>
        </w:rPr>
        <w:t>Mantener la línea venosa con solución salina fisiológica.</w:t>
      </w:r>
    </w:p>
    <w:p w:rsidR="00A364BF" w:rsidRPr="00A364BF" w:rsidRDefault="00A364BF" w:rsidP="00A364B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64BF">
        <w:rPr>
          <w:rFonts w:ascii="Arial" w:eastAsia="Times New Roman" w:hAnsi="Arial" w:cs="Arial"/>
          <w:sz w:val="24"/>
          <w:szCs w:val="24"/>
          <w:lang w:val="es-ES" w:eastAsia="es-ES"/>
        </w:rPr>
        <w:t>Comprobar las etiquetas, formularios e identificación del paciente para comprobar si este ha recibido el componente previsto.</w:t>
      </w:r>
    </w:p>
    <w:p w:rsidR="00A364BF" w:rsidRPr="00A364BF" w:rsidRDefault="00A364BF" w:rsidP="00A364B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64B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Comunicar inmediatamente al servicio de transfusiones la sospecha de reacción </w:t>
      </w:r>
      <w:proofErr w:type="spellStart"/>
      <w:r w:rsidRPr="00A364BF">
        <w:rPr>
          <w:rFonts w:ascii="Arial" w:eastAsia="Times New Roman" w:hAnsi="Arial" w:cs="Arial"/>
          <w:sz w:val="24"/>
          <w:szCs w:val="24"/>
          <w:lang w:val="es-ES" w:eastAsia="es-ES"/>
        </w:rPr>
        <w:t>postransfusional</w:t>
      </w:r>
      <w:proofErr w:type="spellEnd"/>
      <w:r w:rsidRPr="00A364BF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A364BF" w:rsidRPr="00A364BF" w:rsidRDefault="00A364BF" w:rsidP="00A364BF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364BF">
        <w:rPr>
          <w:rFonts w:ascii="Arial" w:eastAsia="Times New Roman" w:hAnsi="Arial" w:cs="Arial"/>
          <w:sz w:val="24"/>
          <w:szCs w:val="24"/>
          <w:lang w:val="es-ES" w:eastAsia="es-ES"/>
        </w:rPr>
        <w:t>Enviar al servicio de transfusiones lo antes posibles muestras de sangre del receptor, junto con la bolsa de sangre interrumpida, el equipo de transfusión y todos los formularios y etiquetas.</w:t>
      </w:r>
    </w:p>
    <w:bookmarkEnd w:id="0"/>
    <w:p w:rsidR="00D57536" w:rsidRDefault="00D57536"/>
    <w:sectPr w:rsidR="00D575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57D06"/>
    <w:multiLevelType w:val="hybridMultilevel"/>
    <w:tmpl w:val="7DB61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940C5"/>
    <w:multiLevelType w:val="hybridMultilevel"/>
    <w:tmpl w:val="4488810A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BF"/>
    <w:rsid w:val="00A364BF"/>
    <w:rsid w:val="00D5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D773-BF7E-4E04-949F-38A080DC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BF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Díaz Hernández</dc:creator>
  <cp:keywords/>
  <dc:description/>
  <cp:lastModifiedBy>Lazaro Díaz Hernández</cp:lastModifiedBy>
  <cp:revision>1</cp:revision>
  <dcterms:created xsi:type="dcterms:W3CDTF">2020-04-17T15:47:00Z</dcterms:created>
  <dcterms:modified xsi:type="dcterms:W3CDTF">2020-04-17T15:49:00Z</dcterms:modified>
</cp:coreProperties>
</file>