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D37FEF">
        <w:rPr>
          <w:rFonts w:cs="Arial"/>
          <w:b/>
          <w:sz w:val="28"/>
          <w:szCs w:val="28"/>
        </w:rPr>
        <w:t>MINISTERIO DE EDUCACIÓN SUPERIOR</w:t>
      </w:r>
    </w:p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D37FEF">
        <w:rPr>
          <w:rFonts w:cs="Arial"/>
          <w:b/>
          <w:sz w:val="28"/>
          <w:szCs w:val="28"/>
        </w:rPr>
        <w:t>MINISTERIO DE SALUD PÚBLICA</w:t>
      </w:r>
    </w:p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</w:p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</w:p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D37FEF">
        <w:rPr>
          <w:rFonts w:cs="Arial"/>
          <w:b/>
          <w:sz w:val="28"/>
          <w:szCs w:val="28"/>
        </w:rPr>
        <w:t>EDUCACIÓN SUPERIOR DE CICLO CORTO</w:t>
      </w:r>
    </w:p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</w:p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</w:p>
    <w:p w:rsidR="003C5F60" w:rsidRPr="00D37FEF" w:rsidRDefault="003C5F60" w:rsidP="003C5F60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D37FEF">
        <w:rPr>
          <w:rFonts w:cs="Arial"/>
          <w:b/>
          <w:sz w:val="28"/>
          <w:szCs w:val="28"/>
        </w:rPr>
        <w:t>TECNICO SUPERIOR EN TERAPIA  OCUPACIONAL</w:t>
      </w:r>
    </w:p>
    <w:p w:rsidR="003C5F60" w:rsidRPr="00D37FEF" w:rsidRDefault="003C5F60" w:rsidP="003C5F60">
      <w:pPr>
        <w:spacing w:before="120" w:after="120"/>
        <w:rPr>
          <w:rFonts w:cs="Arial"/>
          <w:b/>
          <w:sz w:val="28"/>
          <w:szCs w:val="28"/>
        </w:rPr>
      </w:pPr>
    </w:p>
    <w:p w:rsidR="003C5F60" w:rsidRPr="00D37FEF" w:rsidRDefault="003C5F60" w:rsidP="003C5F60">
      <w:pPr>
        <w:spacing w:before="120" w:after="120"/>
        <w:jc w:val="both"/>
        <w:rPr>
          <w:rFonts w:cs="Arial"/>
          <w:b/>
          <w:bCs/>
          <w:sz w:val="28"/>
          <w:szCs w:val="28"/>
        </w:rPr>
      </w:pPr>
    </w:p>
    <w:p w:rsidR="003C5F60" w:rsidRPr="003F1E1B" w:rsidRDefault="003C5F60" w:rsidP="003C5F60">
      <w:pPr>
        <w:spacing w:before="120" w:after="120"/>
        <w:jc w:val="both"/>
        <w:rPr>
          <w:rFonts w:cs="Arial"/>
          <w:b/>
          <w:bCs/>
          <w:sz w:val="24"/>
        </w:rPr>
      </w:pPr>
    </w:p>
    <w:p w:rsidR="003C5F60" w:rsidRPr="003F1E1B" w:rsidRDefault="003C5F60" w:rsidP="003C5F60">
      <w:pPr>
        <w:spacing w:before="120" w:after="120"/>
        <w:jc w:val="both"/>
        <w:rPr>
          <w:rFonts w:cs="Arial"/>
          <w:b/>
          <w:sz w:val="24"/>
        </w:rPr>
      </w:pPr>
    </w:p>
    <w:p w:rsidR="003C5F60" w:rsidRPr="00932F83" w:rsidRDefault="003C5F60" w:rsidP="003C5F60">
      <w:pPr>
        <w:spacing w:before="120" w:after="120"/>
        <w:jc w:val="both"/>
        <w:rPr>
          <w:rFonts w:cs="Arial"/>
          <w:b/>
          <w:sz w:val="24"/>
        </w:rPr>
      </w:pPr>
      <w:r w:rsidRPr="003F1E1B">
        <w:rPr>
          <w:rFonts w:cs="Arial"/>
          <w:b/>
          <w:sz w:val="24"/>
        </w:rPr>
        <w:t>AUTORES:</w:t>
      </w:r>
    </w:p>
    <w:p w:rsidR="003C5F60" w:rsidRPr="00D37FEF" w:rsidRDefault="003C5F60" w:rsidP="003C5F60">
      <w:pPr>
        <w:jc w:val="both"/>
        <w:rPr>
          <w:rFonts w:cs="Arial"/>
          <w:sz w:val="24"/>
        </w:rPr>
      </w:pPr>
      <w:r w:rsidRPr="00D37FEF">
        <w:rPr>
          <w:rFonts w:cs="Arial"/>
          <w:sz w:val="24"/>
        </w:rPr>
        <w:t xml:space="preserve">Lic. </w:t>
      </w:r>
      <w:proofErr w:type="spellStart"/>
      <w:r w:rsidRPr="00D37FEF">
        <w:rPr>
          <w:rFonts w:cs="Arial"/>
          <w:sz w:val="24"/>
        </w:rPr>
        <w:t>Ivòn</w:t>
      </w:r>
      <w:proofErr w:type="spellEnd"/>
      <w:r w:rsidRPr="00D37FEF">
        <w:rPr>
          <w:rFonts w:cs="Arial"/>
          <w:sz w:val="24"/>
        </w:rPr>
        <w:t xml:space="preserve"> </w:t>
      </w:r>
      <w:proofErr w:type="spellStart"/>
      <w:r w:rsidRPr="00D37FEF">
        <w:rPr>
          <w:rFonts w:cs="Arial"/>
          <w:sz w:val="24"/>
        </w:rPr>
        <w:t>Artemàn</w:t>
      </w:r>
      <w:proofErr w:type="spellEnd"/>
      <w:r w:rsidRPr="00D37FEF">
        <w:rPr>
          <w:rFonts w:cs="Arial"/>
          <w:sz w:val="24"/>
        </w:rPr>
        <w:t xml:space="preserve"> </w:t>
      </w:r>
      <w:proofErr w:type="spellStart"/>
      <w:r w:rsidRPr="00D37FEF">
        <w:rPr>
          <w:rFonts w:cs="Arial"/>
          <w:sz w:val="24"/>
        </w:rPr>
        <w:t>Cremé</w:t>
      </w:r>
      <w:proofErr w:type="spellEnd"/>
      <w:r w:rsidRPr="00D37FEF">
        <w:rPr>
          <w:rFonts w:cs="Arial"/>
          <w:sz w:val="24"/>
        </w:rPr>
        <w:t>. Profesora Asistente. FATESA</w:t>
      </w:r>
    </w:p>
    <w:p w:rsidR="003C5F60" w:rsidRPr="00D37FEF" w:rsidRDefault="003C5F60" w:rsidP="003C5F60">
      <w:pPr>
        <w:jc w:val="both"/>
        <w:rPr>
          <w:rFonts w:cs="Arial"/>
          <w:sz w:val="24"/>
        </w:rPr>
      </w:pPr>
    </w:p>
    <w:p w:rsidR="003C5F60" w:rsidRPr="00D37FEF" w:rsidRDefault="003C5F60" w:rsidP="003C5F60">
      <w:pPr>
        <w:jc w:val="both"/>
        <w:rPr>
          <w:rFonts w:cs="Arial"/>
          <w:sz w:val="24"/>
        </w:rPr>
      </w:pPr>
      <w:proofErr w:type="spellStart"/>
      <w:r w:rsidRPr="00D37FEF">
        <w:rPr>
          <w:rFonts w:cs="Arial"/>
          <w:sz w:val="24"/>
        </w:rPr>
        <w:t>Msc.</w:t>
      </w:r>
      <w:proofErr w:type="spellEnd"/>
      <w:r w:rsidRPr="00D37FEF">
        <w:rPr>
          <w:rFonts w:cs="Arial"/>
          <w:sz w:val="24"/>
        </w:rPr>
        <w:t xml:space="preserve"> Mayra Montpellier Acosta. Profesora Auxiliar. Facultad Enrique Cabrera</w:t>
      </w:r>
    </w:p>
    <w:p w:rsidR="003C5F60" w:rsidRPr="00D37FEF" w:rsidRDefault="003C5F60" w:rsidP="003C5F60">
      <w:pPr>
        <w:jc w:val="both"/>
        <w:rPr>
          <w:rFonts w:cs="Arial"/>
          <w:sz w:val="24"/>
        </w:rPr>
      </w:pPr>
    </w:p>
    <w:p w:rsidR="003C5F60" w:rsidRPr="00D37FEF" w:rsidRDefault="003C5F60" w:rsidP="003C5F60">
      <w:pPr>
        <w:jc w:val="both"/>
        <w:rPr>
          <w:rFonts w:cs="Arial"/>
          <w:sz w:val="24"/>
        </w:rPr>
      </w:pPr>
      <w:r w:rsidRPr="00D37FEF">
        <w:rPr>
          <w:rFonts w:cs="Arial"/>
          <w:sz w:val="24"/>
        </w:rPr>
        <w:t>Lic. Fátima González Figueredo. Profesora Asistente. Facultad Enrique Cabrera.</w:t>
      </w:r>
    </w:p>
    <w:p w:rsidR="003C5F60" w:rsidRPr="00D37FEF" w:rsidRDefault="003C5F60" w:rsidP="003C5F60">
      <w:pPr>
        <w:jc w:val="both"/>
        <w:rPr>
          <w:rFonts w:cs="Arial"/>
          <w:sz w:val="24"/>
        </w:rPr>
      </w:pPr>
    </w:p>
    <w:p w:rsidR="003C5F60" w:rsidRPr="00D37FEF" w:rsidRDefault="003C5F60" w:rsidP="003C5F60">
      <w:pPr>
        <w:jc w:val="both"/>
        <w:rPr>
          <w:rFonts w:cs="Arial"/>
          <w:sz w:val="24"/>
        </w:rPr>
      </w:pPr>
      <w:r w:rsidRPr="00D37FEF">
        <w:rPr>
          <w:rFonts w:cs="Arial"/>
          <w:sz w:val="24"/>
        </w:rPr>
        <w:t>Lic. Andrés Alejandro Pérez García. Profesor Instructor. Facultad Enrique Cabrera.</w:t>
      </w:r>
    </w:p>
    <w:p w:rsidR="003C5F60" w:rsidRPr="00D37FEF" w:rsidRDefault="003C5F60" w:rsidP="003C5F60">
      <w:pPr>
        <w:jc w:val="both"/>
        <w:rPr>
          <w:rFonts w:cs="Arial"/>
          <w:sz w:val="24"/>
        </w:rPr>
      </w:pPr>
    </w:p>
    <w:p w:rsidR="003C5F60" w:rsidRPr="00D37FEF" w:rsidRDefault="003C5F60" w:rsidP="003C5F60">
      <w:pPr>
        <w:jc w:val="both"/>
        <w:rPr>
          <w:rFonts w:cs="Arial"/>
          <w:sz w:val="24"/>
        </w:rPr>
      </w:pPr>
    </w:p>
    <w:p w:rsidR="003C5F60" w:rsidRDefault="003C5F60" w:rsidP="003C5F60">
      <w:pPr>
        <w:spacing w:before="120" w:after="120"/>
        <w:jc w:val="center"/>
        <w:rPr>
          <w:rFonts w:cs="Arial"/>
          <w:b/>
          <w:sz w:val="24"/>
        </w:rPr>
      </w:pPr>
    </w:p>
    <w:p w:rsidR="003C5F60" w:rsidRPr="003C5F60" w:rsidRDefault="003C5F60" w:rsidP="003C5F60">
      <w:pPr>
        <w:spacing w:line="360" w:lineRule="auto"/>
        <w:jc w:val="center"/>
        <w:rPr>
          <w:rFonts w:cs="Arial"/>
          <w:b/>
          <w:sz w:val="24"/>
        </w:rPr>
      </w:pPr>
      <w:r w:rsidRPr="003C5F60">
        <w:rPr>
          <w:rFonts w:cs="Arial"/>
          <w:b/>
          <w:sz w:val="24"/>
        </w:rPr>
        <w:t>GUÍA DE PREGUNTAS   DE LA ASIGNATURA</w:t>
      </w:r>
    </w:p>
    <w:p w:rsidR="003C5F60" w:rsidRPr="00421AA3" w:rsidRDefault="003C5F60" w:rsidP="003C5F60">
      <w:pPr>
        <w:spacing w:before="120" w:after="120"/>
        <w:jc w:val="center"/>
        <w:rPr>
          <w:rFonts w:cs="Arial"/>
          <w:b/>
          <w:sz w:val="24"/>
        </w:rPr>
      </w:pPr>
    </w:p>
    <w:p w:rsidR="003C5F60" w:rsidRPr="00421AA3" w:rsidRDefault="003C5F60" w:rsidP="003C5F60">
      <w:pPr>
        <w:spacing w:before="120" w:after="120"/>
        <w:jc w:val="center"/>
        <w:rPr>
          <w:rFonts w:cs="Arial"/>
          <w:b/>
          <w:sz w:val="24"/>
        </w:rPr>
      </w:pPr>
    </w:p>
    <w:p w:rsidR="003C5F60" w:rsidRPr="00421AA3" w:rsidRDefault="003C5F60" w:rsidP="003C5F60">
      <w:pPr>
        <w:spacing w:before="120" w:after="120"/>
        <w:jc w:val="center"/>
        <w:rPr>
          <w:rFonts w:cs="Arial"/>
          <w:b/>
          <w:sz w:val="24"/>
        </w:rPr>
      </w:pPr>
    </w:p>
    <w:p w:rsidR="003C5F60" w:rsidRPr="00421AA3" w:rsidRDefault="003C5F60" w:rsidP="003C5F60">
      <w:pPr>
        <w:spacing w:before="120" w:after="120"/>
        <w:rPr>
          <w:rFonts w:cs="Arial"/>
          <w:b/>
          <w:sz w:val="24"/>
        </w:rPr>
      </w:pPr>
    </w:p>
    <w:p w:rsidR="003C5F60" w:rsidRPr="00421AA3" w:rsidRDefault="003C5F60" w:rsidP="003C5F60">
      <w:pPr>
        <w:spacing w:before="120"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La Habana, </w:t>
      </w:r>
      <w:r w:rsidRPr="00421AA3">
        <w:rPr>
          <w:rFonts w:cs="Arial"/>
          <w:b/>
          <w:sz w:val="24"/>
        </w:rPr>
        <w:t>2018</w:t>
      </w:r>
    </w:p>
    <w:p w:rsidR="003C5F60" w:rsidRDefault="003C5F60" w:rsidP="003C5F60">
      <w:pPr>
        <w:pStyle w:val="Fecha"/>
        <w:spacing w:before="120" w:line="360" w:lineRule="auto"/>
        <w:rPr>
          <w:rFonts w:ascii="Arial" w:hAnsi="Arial" w:cs="Arial"/>
        </w:rPr>
      </w:pPr>
      <w:r>
        <w:rPr>
          <w:rFonts w:cs="Arial"/>
          <w:b/>
          <w:bCs/>
        </w:rPr>
        <w:br w:type="page"/>
      </w:r>
      <w:r>
        <w:rPr>
          <w:rFonts w:ascii="Arial" w:hAnsi="Arial" w:cs="Arial"/>
          <w:b/>
        </w:rPr>
        <w:lastRenderedPageBreak/>
        <w:t xml:space="preserve">Asignatura: </w:t>
      </w:r>
      <w:r>
        <w:rPr>
          <w:rFonts w:ascii="Arial" w:hAnsi="Arial" w:cs="Arial"/>
        </w:rPr>
        <w:t>Legislación.</w:t>
      </w:r>
    </w:p>
    <w:p w:rsidR="003C5F60" w:rsidRDefault="003C5F60" w:rsidP="003C5F60">
      <w:pPr>
        <w:spacing w:line="360" w:lineRule="auto"/>
        <w:rPr>
          <w:rFonts w:cs="Arial"/>
          <w:sz w:val="24"/>
        </w:rPr>
      </w:pPr>
      <w:r w:rsidRPr="00C845CF">
        <w:rPr>
          <w:rFonts w:cs="Arial"/>
          <w:b/>
          <w:sz w:val="24"/>
        </w:rPr>
        <w:t xml:space="preserve">Modalidad: </w:t>
      </w:r>
      <w:r w:rsidRPr="00C845CF">
        <w:rPr>
          <w:rFonts w:cs="Arial"/>
          <w:sz w:val="24"/>
        </w:rPr>
        <w:t>Presencial</w:t>
      </w:r>
    </w:p>
    <w:p w:rsidR="003C5F60" w:rsidRDefault="003C5F60" w:rsidP="003C5F60">
      <w:pPr>
        <w:spacing w:line="360" w:lineRule="auto"/>
        <w:rPr>
          <w:rFonts w:cs="Arial"/>
          <w:sz w:val="24"/>
        </w:rPr>
      </w:pPr>
      <w:r w:rsidRPr="00C845CF">
        <w:rPr>
          <w:rFonts w:cs="Arial"/>
          <w:b/>
          <w:sz w:val="24"/>
        </w:rPr>
        <w:t xml:space="preserve">Año Académico: </w:t>
      </w:r>
      <w:r w:rsidRPr="00C845CF">
        <w:rPr>
          <w:rFonts w:cs="Arial"/>
          <w:sz w:val="24"/>
        </w:rPr>
        <w:t>2do</w:t>
      </w:r>
    </w:p>
    <w:p w:rsidR="003C5F60" w:rsidRDefault="003C5F60" w:rsidP="003C5F60">
      <w:pPr>
        <w:spacing w:line="360" w:lineRule="auto"/>
        <w:rPr>
          <w:rFonts w:cs="Arial"/>
          <w:sz w:val="24"/>
        </w:rPr>
      </w:pPr>
      <w:r w:rsidRPr="00C845CF">
        <w:rPr>
          <w:rFonts w:cs="Arial"/>
          <w:b/>
          <w:sz w:val="24"/>
        </w:rPr>
        <w:t>Semestre:</w:t>
      </w:r>
      <w:r>
        <w:rPr>
          <w:rFonts w:cs="Arial"/>
          <w:sz w:val="24"/>
        </w:rPr>
        <w:t xml:space="preserve"> 2do</w:t>
      </w:r>
    </w:p>
    <w:p w:rsidR="003C5F60" w:rsidRDefault="003C5F60" w:rsidP="003C5F60">
      <w:pPr>
        <w:spacing w:line="360" w:lineRule="auto"/>
        <w:rPr>
          <w:rFonts w:cs="Arial"/>
          <w:sz w:val="24"/>
        </w:rPr>
      </w:pPr>
      <w:r>
        <w:rPr>
          <w:rFonts w:cs="Arial"/>
          <w:b/>
          <w:sz w:val="24"/>
        </w:rPr>
        <w:t xml:space="preserve">Total: </w:t>
      </w:r>
      <w:r>
        <w:rPr>
          <w:rFonts w:cs="Arial"/>
          <w:sz w:val="24"/>
        </w:rPr>
        <w:t>36</w:t>
      </w:r>
      <w:r w:rsidRPr="00C845CF">
        <w:rPr>
          <w:rFonts w:cs="Arial"/>
          <w:sz w:val="24"/>
        </w:rPr>
        <w:t>hrs</w:t>
      </w:r>
    </w:p>
    <w:p w:rsidR="003C5F60" w:rsidRDefault="003C5F60" w:rsidP="003C5F60">
      <w:pPr>
        <w:tabs>
          <w:tab w:val="left" w:pos="480"/>
        </w:tabs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A continuación  ofrecemos una guía de preguntas   de la asignatura  que le permita  al estudiante    medir los conocimientos adquiridos y enfrentarse  a las  evaluaciones posteriores.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los elementos  sobre el estado  y el derecho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Explique los elementos del derecho laboral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Caracterizar  el derecho  de familia 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Identifique  las prestaciones   establecidas en la ley 105</w:t>
      </w:r>
    </w:p>
    <w:p w:rsidR="003C5F60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los delitos que se relaciona  con su profesión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Explicar  el papel rector de  la constitución    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Identificar los elementos  sobre  el derecho de familia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Relacionar los elementos de la  constitución  de la </w:t>
      </w:r>
      <w:proofErr w:type="spellStart"/>
      <w:r w:rsidRPr="0047656A">
        <w:rPr>
          <w:rFonts w:cs="Arial"/>
          <w:sz w:val="24"/>
        </w:rPr>
        <w:t>Republica</w:t>
      </w:r>
      <w:proofErr w:type="spellEnd"/>
      <w:r w:rsidRPr="0047656A">
        <w:rPr>
          <w:rFonts w:cs="Arial"/>
          <w:sz w:val="24"/>
        </w:rPr>
        <w:t xml:space="preserve"> 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Identificar los elementos sobre el derecho laboral </w:t>
      </w:r>
    </w:p>
    <w:p w:rsidR="003C5F60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los regímenes de la seguridad social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Califique  los delitos    vinculados  a su profesión.</w:t>
      </w:r>
      <w:r w:rsidRPr="0047656A">
        <w:rPr>
          <w:rFonts w:cs="Arial"/>
          <w:sz w:val="24"/>
        </w:rPr>
        <w:tab/>
        <w:t xml:space="preserve">Se conoce que  José Terapeuta  ocupacional   descubre  a su esposa  teniendo relaciones sexuales   con otro hombre  , a la  cual le quita  la vida .Pero  Karla su amiga la oye pidiendo    ayuda   y llama  a la  policía , pero su  amante  la  rescata antes  de que llegue  la policía y le salva la vida. En  las  investigaciones  se  conoce  que Rubén conocía  del deseo  </w:t>
      </w:r>
      <w:r>
        <w:rPr>
          <w:rFonts w:cs="Arial"/>
          <w:sz w:val="24"/>
        </w:rPr>
        <w:t xml:space="preserve">de José   el cual  no denuncio. Califique  los delitos. </w:t>
      </w:r>
      <w:r w:rsidRPr="0047656A">
        <w:rPr>
          <w:rFonts w:cs="Arial"/>
          <w:sz w:val="24"/>
        </w:rPr>
        <w:t>Expongas  los grados  del delito.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Caracterizar   los </w:t>
      </w:r>
      <w:r>
        <w:rPr>
          <w:rFonts w:cs="Arial"/>
          <w:sz w:val="24"/>
        </w:rPr>
        <w:t xml:space="preserve">principios del derecho laboral. </w:t>
      </w:r>
      <w:r w:rsidRPr="0047656A">
        <w:rPr>
          <w:rFonts w:cs="Arial"/>
          <w:sz w:val="24"/>
        </w:rPr>
        <w:t xml:space="preserve">Teniendo en cuenta los principios del derecho  laboral. 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Determinar los objetivos del código de la</w:t>
      </w:r>
      <w:r>
        <w:rPr>
          <w:rFonts w:cs="Arial"/>
          <w:sz w:val="24"/>
        </w:rPr>
        <w:t xml:space="preserve"> familia </w:t>
      </w:r>
      <w:r w:rsidRPr="0047656A">
        <w:rPr>
          <w:rFonts w:cs="Arial"/>
          <w:sz w:val="24"/>
        </w:rPr>
        <w:t>El código de familia es un instrumento jurídico de gran importancia para el desarrollo de la familia cubana. ¿Explique los objetivos del código de familia y su vinculación profesional?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</w:p>
    <w:p w:rsidR="003C5F60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Explicar   las condiciones para recibir pensión del  invalidez parcial  </w:t>
      </w:r>
      <w:r w:rsidRPr="0047656A">
        <w:rPr>
          <w:rFonts w:cs="Arial"/>
          <w:sz w:val="24"/>
        </w:rPr>
        <w:tab/>
        <w:t xml:space="preserve"> La persona que  se encuentra  con invalidez parcial  provisional posee  un  grupo de  derechos ¿Explíquelos?</w:t>
      </w:r>
      <w:r w:rsidRPr="0047656A">
        <w:rPr>
          <w:rFonts w:cs="Arial"/>
          <w:sz w:val="24"/>
        </w:rPr>
        <w:tab/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Identificar  las garantías es</w:t>
      </w:r>
      <w:r>
        <w:rPr>
          <w:rFonts w:cs="Arial"/>
          <w:sz w:val="24"/>
        </w:rPr>
        <w:t xml:space="preserve">tablecidas  en la constitución. </w:t>
      </w:r>
      <w:r w:rsidRPr="0047656A">
        <w:rPr>
          <w:rFonts w:cs="Arial"/>
          <w:sz w:val="24"/>
        </w:rPr>
        <w:t xml:space="preserve">La constitución de la República  establece   un grupo de  garantías </w:t>
      </w:r>
      <w:r w:rsidRPr="0047656A">
        <w:rPr>
          <w:rFonts w:cs="Arial"/>
          <w:sz w:val="24"/>
        </w:rPr>
        <w:lastRenderedPageBreak/>
        <w:t>¿Identifique  verdadero o falso  teniendo en cuenta las garantías establecidas?</w:t>
      </w:r>
    </w:p>
    <w:p w:rsidR="003C5F60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los conocim</w:t>
      </w:r>
      <w:r>
        <w:rPr>
          <w:rFonts w:cs="Arial"/>
          <w:sz w:val="24"/>
        </w:rPr>
        <w:t>ientos sobre derecho de familia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Identifique  los conocimiento </w:t>
      </w:r>
      <w:r>
        <w:rPr>
          <w:rFonts w:cs="Arial"/>
          <w:sz w:val="24"/>
        </w:rPr>
        <w:t xml:space="preserve">sobre  la ley 105 </w:t>
      </w:r>
      <w:r>
        <w:rPr>
          <w:rFonts w:cs="Arial"/>
          <w:sz w:val="24"/>
        </w:rPr>
        <w:tab/>
        <w:t xml:space="preserve">Identifique </w:t>
      </w:r>
      <w:r w:rsidRPr="0047656A">
        <w:rPr>
          <w:rFonts w:cs="Arial"/>
          <w:sz w:val="24"/>
        </w:rPr>
        <w:t>con V o F  los siguientes planteamientos sobre  la ley 105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Explique  los principios del d</w:t>
      </w:r>
      <w:r>
        <w:rPr>
          <w:rFonts w:cs="Arial"/>
          <w:sz w:val="24"/>
        </w:rPr>
        <w:t xml:space="preserve">erecho laboral. </w:t>
      </w:r>
      <w:r w:rsidRPr="0047656A">
        <w:rPr>
          <w:rFonts w:cs="Arial"/>
          <w:sz w:val="24"/>
        </w:rPr>
        <w:t>Teniendo en cuenta   los principios del derecho laboral.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Califique   los delitos  vincula</w:t>
      </w:r>
      <w:r>
        <w:rPr>
          <w:rFonts w:cs="Arial"/>
          <w:sz w:val="24"/>
        </w:rPr>
        <w:t>dos  con su profesión</w:t>
      </w:r>
      <w:r>
        <w:rPr>
          <w:rFonts w:cs="Arial"/>
          <w:sz w:val="24"/>
        </w:rPr>
        <w:tab/>
        <w:t xml:space="preserve">Sergio  </w:t>
      </w:r>
      <w:r w:rsidRPr="0047656A">
        <w:rPr>
          <w:rFonts w:cs="Arial"/>
          <w:sz w:val="24"/>
        </w:rPr>
        <w:t>tiene   bajo su deber  guardar  medicamentos  que se utilizan para  enfrentar  enfermedades contagiosas. El mismo  deja su guardia  para   fumar  a  fuera  los  mismos son sustraídos por un paciente  psiquiátrico, al cual él  se los quita  y en el forcejeo los rompe.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Identificar  los conocimientos sobre  la ley 105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los conocimientos sobre derecho de familia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Características  del estado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   y calificar delitos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 lo establecido en la ley 105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Identificar  los conocimientos sobre  los principios del derecho laboral 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 xml:space="preserve">Explique los conocimientos  sobre la constitución de la República 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los conocimientos sobre la  ley  105.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los conocimientos sobre  derecho</w:t>
      </w:r>
    </w:p>
    <w:p w:rsidR="003C5F60" w:rsidRPr="0047656A" w:rsidRDefault="003C5F60" w:rsidP="003C5F60">
      <w:pPr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 w:val="24"/>
        </w:rPr>
      </w:pPr>
      <w:r w:rsidRPr="0047656A">
        <w:rPr>
          <w:rFonts w:cs="Arial"/>
          <w:sz w:val="24"/>
        </w:rPr>
        <w:t>Explicar  los conocimientos sobre las prestaciones  de la  ley 105</w:t>
      </w:r>
    </w:p>
    <w:p w:rsidR="007E241C" w:rsidRPr="003C5F60" w:rsidRDefault="007E241C" w:rsidP="003C5F60">
      <w:pPr>
        <w:spacing w:before="120" w:after="120"/>
        <w:ind w:left="426"/>
        <w:jc w:val="both"/>
        <w:rPr>
          <w:rFonts w:cs="Arial"/>
          <w:sz w:val="24"/>
        </w:rPr>
      </w:pPr>
    </w:p>
    <w:sectPr w:rsidR="007E241C" w:rsidRPr="003C5F60" w:rsidSect="007E2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1EC6"/>
    <w:multiLevelType w:val="hybridMultilevel"/>
    <w:tmpl w:val="7BF015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9"/>
  <w:hyphenationZone w:val="425"/>
  <w:characterSpacingControl w:val="doNotCompress"/>
  <w:compat/>
  <w:rsids>
    <w:rsidRoot w:val="003C5F60"/>
    <w:rsid w:val="003C5F60"/>
    <w:rsid w:val="007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60"/>
    <w:pPr>
      <w:spacing w:after="0" w:line="240" w:lineRule="auto"/>
    </w:pPr>
    <w:rPr>
      <w:rFonts w:ascii="Arial" w:eastAsia="Times New Roman" w:hAnsi="Arial" w:cs="Times New Roman"/>
      <w:spacing w:val="6"/>
      <w:kern w:val="26"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rsid w:val="003C5F60"/>
    <w:rPr>
      <w:rFonts w:ascii="Times New Roman" w:hAnsi="Times New Roman"/>
      <w:spacing w:val="0"/>
      <w:kern w:val="0"/>
      <w:sz w:val="24"/>
    </w:rPr>
  </w:style>
  <w:style w:type="character" w:customStyle="1" w:styleId="FechaCar">
    <w:name w:val="Fecha Car"/>
    <w:basedOn w:val="Fuentedeprrafopredeter"/>
    <w:link w:val="Fecha"/>
    <w:rsid w:val="003C5F6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2020-04-22T14:10:00Z</dcterms:created>
  <dcterms:modified xsi:type="dcterms:W3CDTF">2020-04-22T14:14:00Z</dcterms:modified>
</cp:coreProperties>
</file>