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4.jpeg" ContentType="image/jpeg"/>
  <Override PartName="/word/media/image3.jpeg" ContentType="image/jpeg"/>
  <Override PartName="/word/media/image2.jpeg" ContentType="image/jpeg"/>
  <Override PartName="/word/media/image1.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Autospacing="1" w:afterAutospacing="1"/>
        <w:outlineLvl w:val="0"/>
        <w:rPr>
          <w:rFonts w:ascii="Times New Roman" w:hAnsi="Times New Roman" w:eastAsia="Times New Roman" w:cs="Times New Roman"/>
          <w:b/>
          <w:b/>
          <w:bCs/>
          <w:sz w:val="48"/>
          <w:szCs w:val="48"/>
        </w:rPr>
      </w:pPr>
      <w:bookmarkStart w:id="0" w:name="__DdeLink__2310_1092950000"/>
      <w:bookmarkEnd w:id="0"/>
      <w:r>
        <w:rPr>
          <w:rFonts w:eastAsia="Times New Roman" w:cs="Times New Roman" w:ascii="Times New Roman" w:hAnsi="Times New Roman"/>
          <w:b/>
          <w:bCs/>
          <w:sz w:val="48"/>
          <w:szCs w:val="48"/>
        </w:rPr>
        <w:t>Neoplasia cervical intraepitelial</w:t>
      </w:r>
    </w:p>
    <w:tbl>
      <w:tblPr>
        <w:tblW w:w="5448" w:type="dxa"/>
        <w:jc w:val="left"/>
        <w:tblInd w:w="0" w:type="dxa"/>
        <w:tblBorders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448"/>
      </w:tblGrid>
      <w:tr>
        <w:trPr>
          <w:trHeight w:val="23" w:hRule="exact"/>
        </w:trPr>
        <w:tc>
          <w:tcPr>
            <w:tcW w:w="5448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336" w:before="0" w:after="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La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neoplasia cervical intraepitelial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(abreviado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NIC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o, también,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CIN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, por las siglas en inglés de 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cervical intraepitelial neoplasm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) es un crecimiento anormal y pre-canceroso de </w:t>
      </w:r>
      <w:hyperlink r:id="rId2">
        <w:r>
          <w:rPr>
            <w:rStyle w:val="InternetLink"/>
            <w:rFonts w:eastAsia="Times New Roman" w:cs="Times New Roman" w:ascii="Times New Roman" w:hAnsi="Times New Roman"/>
            <w:color w:val="0000FF"/>
            <w:sz w:val="24"/>
            <w:szCs w:val="24"/>
            <w:u w:val="single"/>
          </w:rPr>
          <w:t>células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 escamosas en el </w:t>
      </w:r>
      <w:hyperlink r:id="rId3">
        <w:r>
          <w:rPr>
            <w:rStyle w:val="InternetLink"/>
            <w:rFonts w:eastAsia="Times New Roman" w:cs="Times New Roman" w:ascii="Times New Roman" w:hAnsi="Times New Roman"/>
            <w:color w:val="0000FF"/>
            <w:sz w:val="24"/>
            <w:szCs w:val="24"/>
            <w:u w:val="single"/>
          </w:rPr>
          <w:t>cuello uterino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. La mayoría de los casos de NIC permanecen estables o son eliminados por el </w:t>
      </w:r>
      <w:hyperlink r:id="rId4">
        <w:r>
          <w:rPr>
            <w:rStyle w:val="InternetLink"/>
            <w:rFonts w:eastAsia="Times New Roman" w:cs="Times New Roman" w:ascii="Times New Roman" w:hAnsi="Times New Roman"/>
            <w:color w:val="0000FF"/>
            <w:sz w:val="24"/>
            <w:szCs w:val="24"/>
            <w:u w:val="single"/>
          </w:rPr>
          <w:t>sistema inmune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 xml:space="preserve"> del individuo sin intervención médica. Sin embargo un pequeño porcentaje de casos progresan a </w:t>
      </w:r>
      <w:hyperlink r:id="rId5">
        <w:r>
          <w:rPr>
            <w:rStyle w:val="InternetLink"/>
            <w:rFonts w:eastAsia="Times New Roman" w:cs="Times New Roman" w:ascii="Times New Roman" w:hAnsi="Times New Roman"/>
            <w:color w:val="0000FF"/>
            <w:sz w:val="24"/>
            <w:szCs w:val="24"/>
            <w:u w:val="single"/>
          </w:rPr>
          <w:t>cáncer cervical</w:t>
        </w:r>
      </w:hyperlink>
      <w:r>
        <w:rPr>
          <w:rFonts w:eastAsia="Times New Roman" w:cs="Times New Roman" w:ascii="Times New Roman" w:hAnsi="Times New Roman"/>
          <w:sz w:val="24"/>
          <w:szCs w:val="24"/>
        </w:rPr>
        <w:t>, usualmente, por razón de la célula invasora, en un carcinoma de células escamosas.</w:t>
      </w:r>
      <w:r>
        <w:fldChar w:fldCharType="begin"/>
      </w:r>
      <w:r>
        <w:instrText> HYPERLINK "https://es.wikipedia.org/wiki/Neoplasia_cervical_intraepitelial" \l "cite_note-Agorastos-1"</w:instrText>
      </w:r>
      <w:r>
        <w:fldChar w:fldCharType="separate"/>
      </w:r>
      <w:r>
        <w:rPr>
          <w:rStyle w:val="InternetLink"/>
          <w:rFonts w:eastAsia="Times New Roman" w:cs="Times New Roman" w:ascii="Times New Roman" w:hAnsi="Times New Roman"/>
          <w:color w:val="0000FF"/>
          <w:sz w:val="24"/>
          <w:szCs w:val="24"/>
          <w:u w:val="single"/>
          <w:vertAlign w:val="superscript"/>
        </w:rPr>
        <w:t>1</w:t>
      </w:r>
      <w:r>
        <w:fldChar w:fldCharType="end"/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​ </w:t>
      </w:r>
    </w:p>
    <w:p>
      <w:pPr>
        <w:pStyle w:val="Heading2"/>
        <w:rPr/>
      </w:pPr>
      <w:r>
        <w:rPr>
          <w:rStyle w:val="Mwheadline"/>
        </w:rPr>
        <w:t>lasificación</w:t>
      </w:r>
    </w:p>
    <w:p>
      <w:pPr>
        <w:pStyle w:val="NormalWeb"/>
        <w:rPr/>
      </w:pPr>
      <w:r>
        <w:rPr/>
        <w:t xml:space="preserve">Los NIC tienen tres grados distintivos, basados en el espesor de la invasión por parte de las células escamosas: 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/>
      </w:pPr>
      <w:r>
        <w:rPr>
          <w:b/>
          <w:bCs/>
        </w:rPr>
        <w:t>NIC1</w:t>
      </w:r>
      <w:r>
        <w:rPr/>
        <w:t xml:space="preserve"> (Grado I), es el tipo de menor riesgo, representa sólo una displasia leve o crecimiento celular anormal</w:t>
      </w:r>
      <w:r>
        <w:fldChar w:fldCharType="begin"/>
      </w:r>
      <w:r>
        <w:instrText> HYPERLINK "https://es.wikipedia.org/wiki/Neoplasia_cervical_intraepitelial" \l "cite_note-Agorastos-1"</w:instrText>
      </w:r>
      <w:r>
        <w:fldChar w:fldCharType="separate"/>
      </w:r>
      <w:r>
        <w:rPr>
          <w:rStyle w:val="InternetLink"/>
          <w:vertAlign w:val="superscript"/>
        </w:rPr>
        <w:t>1</w:t>
      </w:r>
      <w:r>
        <w:fldChar w:fldCharType="end"/>
      </w:r>
      <w:r>
        <w:rPr/>
        <w:t>​ y es considerado una lesión escamosa intraepitelial de bajo grado.</w:t>
      </w:r>
      <w:r>
        <w:fldChar w:fldCharType="begin"/>
      </w:r>
      <w:r>
        <w:instrText> HYPERLINK "https://es.wikipedia.org/wiki/Neoplasia_cervical_intraepitelial" \l "cite_note-Park-3"</w:instrText>
      </w:r>
      <w:r>
        <w:fldChar w:fldCharType="separate"/>
      </w:r>
      <w:r>
        <w:rPr>
          <w:rStyle w:val="InternetLink"/>
          <w:vertAlign w:val="superscript"/>
        </w:rPr>
        <w:t>3</w:t>
      </w:r>
      <w:r>
        <w:fldChar w:fldCharType="end"/>
      </w:r>
      <w:r>
        <w:rPr/>
        <w:t>​ Se caracteriza por estar confinado al 1/3 basal del epitelio cervical.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/>
      </w:pPr>
      <w:r>
        <w:rPr>
          <w:b/>
          <w:bCs/>
        </w:rPr>
        <w:t>NIC2</w:t>
      </w:r>
      <w:r>
        <w:rPr/>
        <w:t xml:space="preserve"> (Grado II), es considerado una lesión escamosa intraepitelial de alto grado</w:t>
      </w:r>
      <w:r>
        <w:fldChar w:fldCharType="begin"/>
      </w:r>
      <w:r>
        <w:instrText> HYPERLINK "https://es.wikipedia.org/wiki/Neoplasia_cervical_intraepitelial" \l "cite_note-Park-3"</w:instrText>
      </w:r>
      <w:r>
        <w:fldChar w:fldCharType="separate"/>
      </w:r>
      <w:r>
        <w:rPr>
          <w:rStyle w:val="InternetLink"/>
          <w:vertAlign w:val="superscript"/>
        </w:rPr>
        <w:t>3</w:t>
      </w:r>
      <w:r>
        <w:fldChar w:fldCharType="end"/>
      </w:r>
      <w:r>
        <w:rPr/>
        <w:t>​ y representan una displasia moderada, confinada a los 2/3 basales del epitelio cervical.</w:t>
      </w:r>
    </w:p>
    <w:p>
      <w:pPr>
        <w:pStyle w:val="Normal"/>
        <w:numPr>
          <w:ilvl w:val="0"/>
          <w:numId w:val="1"/>
        </w:numPr>
        <w:spacing w:lineRule="auto" w:line="240" w:beforeAutospacing="1" w:afterAutospacing="1"/>
        <w:rPr/>
      </w:pPr>
      <w:r>
        <w:rPr>
          <w:b/>
          <w:bCs/>
        </w:rPr>
        <w:t>NIC3</w:t>
      </w:r>
      <w:r>
        <w:rPr/>
        <w:t xml:space="preserve"> (Grado III): en este tipo de lesión, considerada también de alto grado, la displasia es severa y cubre más de los 2/3 de todo el epitelio cervical, en algunos casos incluyendo todo el grosor del revestimiento cervical. Esta lesión es considerada como un </w:t>
      </w:r>
      <w:hyperlink r:id="rId6">
        <w:r>
          <w:rPr>
            <w:rStyle w:val="InternetLink"/>
            <w:color w:val="00000A"/>
          </w:rPr>
          <w:t xml:space="preserve">carcinoma </w:t>
        </w:r>
        <w:r>
          <w:rPr>
            <w:rStyle w:val="InternetLink"/>
            <w:i/>
            <w:iCs/>
            <w:color w:val="00000A"/>
          </w:rPr>
          <w:t>in situ</w:t>
        </w:r>
      </w:hyperlink>
      <w:r>
        <w:rPr/>
        <w:t>.</w:t>
      </w:r>
    </w:p>
    <w:p>
      <w:pPr>
        <w:pStyle w:val="Normal"/>
        <w:rPr/>
      </w:pPr>
      <w:r>
        <w:rPr/>
        <w:drawing>
          <wp:inline distT="0" distB="0" distL="19050" distR="0">
            <wp:extent cx="1524000" cy="1143000"/>
            <wp:effectExtent l="0" t="0" r="0" b="0"/>
            <wp:docPr id="1" name="Imagen 4" descr="C:\Users\TECNOLOGIA\Desktop\120px-Cervical_intraepithelial_neoplasia_(1)_normal_squamous_epitheli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4" descr="C:\Users\TECNOLOGIA\Desktop\120px-Cervical_intraepithelial_neoplasia_(1)_normal_squamous_epitheliu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</w:t>
      </w:r>
      <w:r>
        <w:rPr/>
        <w:drawing>
          <wp:inline distT="0" distB="0" distL="19050" distR="0">
            <wp:extent cx="1524000" cy="1143000"/>
            <wp:effectExtent l="0" t="0" r="0" b="0"/>
            <wp:docPr id="2" name="Imagen 5" descr="C:\Users\TECNOLOGIA\Desktop\Cervical_intraepithelial_neoplasia_(2)_koilocyto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5" descr="C:\Users\TECNOLOGIA\Desktop\Cervical_intraepithelial_neoplasia_(2)_koilocytosis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>EPITELIO CERVICAL NORMAL                     NIC1</w:t>
      </w:r>
    </w:p>
    <w:p>
      <w:pPr>
        <w:pStyle w:val="Normal"/>
        <w:rPr/>
      </w:pPr>
      <w:r>
        <w:rPr/>
        <w:drawing>
          <wp:inline distT="0" distB="0" distL="19050" distR="0">
            <wp:extent cx="1524000" cy="1143000"/>
            <wp:effectExtent l="0" t="0" r="0" b="0"/>
            <wp:docPr id="3" name="Imagen 6" descr="C:\Users\TECNOLOGIA\Desktop\120px-Cervical_intraepithelial_neoplasia_(3)_CI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6" descr="C:\Users\TECNOLOGIA\Desktop\120px-Cervical_intraepithelial_neoplasia_(3)_CIN2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  <w:t xml:space="preserve">                  </w:t>
      </w:r>
      <w:r>
        <w:rPr/>
        <w:drawing>
          <wp:inline distT="0" distB="0" distL="19050" distR="0">
            <wp:extent cx="1623695" cy="1041400"/>
            <wp:effectExtent l="0" t="0" r="0" b="0"/>
            <wp:docPr id="4" name="Imagen 8" descr="C:\Users\TECNOLOGIA\Desktop\Cervical_intraepithelial_neoplasia_(4)_CIN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8" descr="C:\Users\TECNOLOGIA\Desktop\Cervical_intraepithelial_neoplasia_(4)_CIN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695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/>
      </w:pPr>
      <w:r>
        <w:rPr/>
        <w:t xml:space="preserve">      </w:t>
      </w:r>
      <w:r>
        <w:rPr/>
        <w:t xml:space="preserve">NIC II                                                                          NIC grado III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40" w:beforeAutospacing="1" w:afterAutospacing="1"/>
        <w:rPr/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Recientemente, la clasificación de las lesiones precancerosas ha sido reformulada, agrupándose las lesiones en sólo dos tipos, de acuerdo con las dos posibles decisiones terapéuticas (observación o intervención quirúrgica). Según el nuevo sistema: </w:t>
      </w:r>
      <w:r>
        <w:fldChar w:fldCharType="begin"/>
      </w:r>
      <w:r>
        <w:instrText> HYPERLINK "https://es.wikipedia.org/wiki/Neoplasia_cervical_intraepitelial" \l "cite_note-Robbins-4"</w:instrText>
      </w:r>
      <w:r>
        <w:fldChar w:fldCharType="separate"/>
      </w:r>
      <w:r>
        <w:rPr>
          <w:rStyle w:val="InternetLink"/>
          <w:rFonts w:eastAsia="Times New Roman" w:cs="Times New Roman" w:ascii="Times New Roman" w:hAnsi="Times New Roman"/>
          <w:color w:val="0000FF"/>
          <w:sz w:val="24"/>
          <w:szCs w:val="24"/>
          <w:u w:val="single"/>
          <w:vertAlign w:val="superscript"/>
        </w:rPr>
        <w:t>4</w:t>
      </w:r>
      <w:r>
        <w:fldChar w:fldCharType="end"/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​ </w:t>
      </w:r>
    </w:p>
    <w:p>
      <w:pPr>
        <w:pStyle w:val="Normal"/>
        <w:numPr>
          <w:ilvl w:val="0"/>
          <w:numId w:val="2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Las lesiones NIC-I (CIN-I) se han renombrado como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LSIL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Low grade Squamous Intraepithelial Lesion</w:t>
      </w:r>
      <w:r>
        <w:rPr>
          <w:rFonts w:eastAsia="Times New Roman" w:cs="Times New Roman" w:ascii="Times New Roman" w:hAnsi="Times New Roman"/>
          <w:sz w:val="24"/>
          <w:szCs w:val="24"/>
        </w:rPr>
        <w:t>), Lesiones intraepiteliales escamosas de bajo grado.</w:t>
      </w:r>
    </w:p>
    <w:p>
      <w:pPr>
        <w:pStyle w:val="Normal"/>
        <w:numPr>
          <w:ilvl w:val="0"/>
          <w:numId w:val="3"/>
        </w:numPr>
        <w:spacing w:lineRule="auto" w:line="240" w:beforeAutospacing="1" w:afterAutospacing="1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Las lesiones NIC-II y NIC-III (CIN-II y CIN-III) se denominan </w:t>
      </w:r>
      <w:r>
        <w:rPr>
          <w:rFonts w:eastAsia="Times New Roman" w:cs="Times New Roman" w:ascii="Times New Roman" w:hAnsi="Times New Roman"/>
          <w:b/>
          <w:bCs/>
          <w:sz w:val="24"/>
          <w:szCs w:val="24"/>
        </w:rPr>
        <w:t>HSIL</w:t>
      </w:r>
      <w:r>
        <w:rPr>
          <w:rFonts w:eastAsia="Times New Roman" w:cs="Times New Roman" w:ascii="Times New Roman" w:hAnsi="Times New Roman"/>
          <w:sz w:val="24"/>
          <w:szCs w:val="24"/>
        </w:rPr>
        <w:t xml:space="preserve"> (</w:t>
      </w:r>
      <w:r>
        <w:rPr>
          <w:rFonts w:eastAsia="Times New Roman" w:cs="Times New Roman" w:ascii="Times New Roman" w:hAnsi="Times New Roman"/>
          <w:i/>
          <w:iCs/>
          <w:sz w:val="24"/>
          <w:szCs w:val="24"/>
        </w:rPr>
        <w:t>High grade Squamous Intraepithelial Lesion</w:t>
      </w:r>
      <w:r>
        <w:rPr>
          <w:rFonts w:eastAsia="Times New Roman" w:cs="Times New Roman" w:ascii="Times New Roman" w:hAnsi="Times New Roman"/>
          <w:sz w:val="24"/>
          <w:szCs w:val="24"/>
        </w:rPr>
        <w:t>) Lesiones intraepiteliales escamosas de alto grado.</w:t>
      </w:r>
    </w:p>
    <w:p>
      <w:pPr>
        <w:pStyle w:val="Heading2"/>
        <w:rPr/>
      </w:pPr>
      <w:r>
        <w:rPr>
          <w:rStyle w:val="Mwheadline"/>
        </w:rPr>
        <w:t>Progresión</w:t>
      </w:r>
    </w:p>
    <w:p>
      <w:pPr>
        <w:pStyle w:val="NormalWeb"/>
        <w:rPr/>
      </w:pPr>
      <w:r>
        <w:rPr/>
        <w:t xml:space="preserve">Hay quienes piensan que los casos de NIC progresan por estos estados antes de desarrollar un </w:t>
      </w:r>
      <w:hyperlink r:id="rId11">
        <w:r>
          <w:rPr>
            <w:rStyle w:val="InternetLink"/>
            <w:rFonts w:eastAsia="" w:eastAsiaTheme="majorEastAsia"/>
          </w:rPr>
          <w:t>cáncer</w:t>
        </w:r>
      </w:hyperlink>
      <w:r>
        <w:rPr/>
        <w:t>.</w:t>
      </w:r>
      <w:r>
        <w:fldChar w:fldCharType="begin"/>
      </w:r>
      <w:r>
        <w:instrText> HYPERLINK "https://es.wikipedia.org/wiki/Neoplasia_cervical_intraepitelial" \l "cite_note-Agorastos-1"</w:instrText>
      </w:r>
      <w:r>
        <w:fldChar w:fldCharType="separate"/>
      </w:r>
      <w:r>
        <w:rPr>
          <w:rStyle w:val="InternetLink"/>
          <w:rFonts w:eastAsia="" w:eastAsiaTheme="majorEastAsia"/>
          <w:vertAlign w:val="superscript"/>
        </w:rPr>
        <w:t>1</w:t>
      </w:r>
      <w:r>
        <w:fldChar w:fldCharType="end"/>
      </w:r>
      <w:r>
        <w:rPr/>
        <w:t>​</w:t>
      </w:r>
      <w:r>
        <w:fldChar w:fldCharType="begin"/>
      </w:r>
      <w:r>
        <w:instrText> HYPERLINK "https://es.wikipedia.org/wiki/Neoplasia_cervical_intraepitelial" \l "cite_note-5"</w:instrText>
      </w:r>
      <w:r>
        <w:fldChar w:fldCharType="separate"/>
      </w:r>
      <w:r>
        <w:rPr>
          <w:rStyle w:val="InternetLink"/>
          <w:rFonts w:eastAsia="" w:eastAsiaTheme="majorEastAsia"/>
          <w:vertAlign w:val="superscript"/>
        </w:rPr>
        <w:t>5</w:t>
      </w:r>
      <w:r>
        <w:fldChar w:fldCharType="end"/>
      </w:r>
      <w:r>
        <w:rPr/>
        <w:t>​</w:t>
      </w:r>
      <w:r>
        <w:fldChar w:fldCharType="begin"/>
      </w:r>
      <w:r>
        <w:instrText> HYPERLINK "https://es.wikipedia.org/wiki/Neoplasia_cervical_intraepitelial" \l "cite_note-6"</w:instrText>
      </w:r>
      <w:r>
        <w:fldChar w:fldCharType="separate"/>
      </w:r>
      <w:r>
        <w:rPr>
          <w:rStyle w:val="InternetLink"/>
          <w:rFonts w:eastAsia="" w:eastAsiaTheme="majorEastAsia"/>
          <w:vertAlign w:val="superscript"/>
        </w:rPr>
        <w:t>6</w:t>
      </w:r>
      <w:r>
        <w:fldChar w:fldCharType="end"/>
      </w:r>
      <w:r>
        <w:rPr/>
        <w:t xml:space="preserve">​ Sin embargo, si bien es cierto que los cánceres cervicouterinos, en especial los invasores de células escamosas, vienen precedidos por una fase de </w:t>
      </w:r>
      <w:hyperlink r:id="rId12">
        <w:r>
          <w:rPr>
            <w:rStyle w:val="InternetLink"/>
            <w:rFonts w:eastAsia="" w:eastAsiaTheme="majorEastAsia"/>
          </w:rPr>
          <w:t>enfermedades</w:t>
        </w:r>
      </w:hyperlink>
      <w:r>
        <w:rPr/>
        <w:t xml:space="preserve"> preinvasoras de largo tiempo, existen evidencias que el cáncer de cuello puede ocurrir sin que haya una detectable progresión a lo largo de los tres estadios y que una neoplasia intraepitelial de alto grado puede ocurrir sin que primero haya existido como una lesión de bajo grado.</w:t>
      </w:r>
      <w:r>
        <w:fldChar w:fldCharType="begin"/>
      </w:r>
      <w:r>
        <w:instrText> HYPERLINK "https://es.wikipedia.org/wiki/Neoplasia_cervical_intraepitelial" \l "cite_note-Agorastos-1"</w:instrText>
      </w:r>
      <w:r>
        <w:fldChar w:fldCharType="separate"/>
      </w:r>
      <w:r>
        <w:rPr>
          <w:rStyle w:val="InternetLink"/>
          <w:rFonts w:eastAsia="" w:eastAsiaTheme="majorEastAsia"/>
          <w:vertAlign w:val="superscript"/>
        </w:rPr>
        <w:t>1</w:t>
      </w:r>
      <w:r>
        <w:fldChar w:fldCharType="end"/>
      </w:r>
      <w:r>
        <w:rPr/>
        <w:t>​</w:t>
      </w:r>
      <w:r>
        <w:fldChar w:fldCharType="begin"/>
      </w:r>
      <w:r>
        <w:instrText> HYPERLINK "https://es.wikipedia.org/wiki/Neoplasia_cervical_intraepitelial" \l "cite_note-7"</w:instrText>
      </w:r>
      <w:r>
        <w:fldChar w:fldCharType="separate"/>
      </w:r>
      <w:r>
        <w:rPr>
          <w:rStyle w:val="InternetLink"/>
          <w:rFonts w:eastAsia="" w:eastAsiaTheme="majorEastAsia"/>
          <w:vertAlign w:val="superscript"/>
        </w:rPr>
        <w:t>7</w:t>
      </w:r>
      <w:r>
        <w:fldChar w:fldCharType="end"/>
      </w:r>
      <w:r>
        <w:rPr/>
        <w:t xml:space="preserve">​ </w:t>
      </w:r>
    </w:p>
    <w:p>
      <w:pPr>
        <w:pStyle w:val="NormalWeb"/>
        <w:rPr/>
      </w:pPr>
      <w:r>
        <w:rPr/>
        <w:t>Aunque la mayoría de HSIL derivan de LSIL, aproximadamente el 20% de los casos de HSIL aparecen "de novo", sin LSIL previos. Las tasas de progresión no son uniformes, y aunque sobre todo VPH 16 está asociado con un riesgo elevado, es difícil predecir la evolución en una persona en particular. La progresión hacia carcinoma invasivo, si llega a ocurrir, puede ocurrir en pocos meses o producirse durante más de una década.</w:t>
      </w:r>
      <w:r>
        <w:fldChar w:fldCharType="begin"/>
      </w:r>
      <w:r>
        <w:instrText> HYPERLINK "https://es.wikipedia.org/wiki/Neoplasia_cervical_intraepitelial" \l "cite_note-Robbins-4"</w:instrText>
      </w:r>
      <w:r>
        <w:fldChar w:fldCharType="separate"/>
      </w:r>
      <w:r>
        <w:rPr>
          <w:rStyle w:val="InternetLink"/>
          <w:rFonts w:eastAsia="" w:eastAsiaTheme="majorEastAsia"/>
          <w:vertAlign w:val="superscript"/>
        </w:rPr>
        <w:t>4</w:t>
      </w:r>
      <w:r>
        <w:fldChar w:fldCharType="end"/>
      </w:r>
      <w:r>
        <w:rPr/>
        <w:t xml:space="preserve">​ </w:t>
      </w:r>
    </w:p>
    <w:p>
      <w:pPr>
        <w:pStyle w:val="Heading2"/>
        <w:rPr/>
      </w:pPr>
      <w:r>
        <w:rPr>
          <w:rStyle w:val="Mwheadline"/>
        </w:rPr>
        <w:t>Diagnóstico</w:t>
      </w:r>
    </w:p>
    <w:p>
      <w:pPr>
        <w:pStyle w:val="Normal"/>
        <w:rPr/>
      </w:pPr>
      <w:r>
        <w:rPr/>
        <w:t xml:space="preserve">Generalmente la Neoplasia Cervical Intraepitelial se descubre durante un examen ginecológico de rutina llamado </w:t>
      </w:r>
      <w:hyperlink r:id="rId13">
        <w:r>
          <w:rPr>
            <w:rStyle w:val="InternetLink"/>
            <w:i/>
            <w:iCs/>
          </w:rPr>
          <w:t>Papanicolaou</w:t>
        </w:r>
      </w:hyperlink>
      <w:r>
        <w:rPr/>
        <w:t xml:space="preserve">. El propósito de este examen es diagnosticar el trastorno en estados iniciales mientras no haya aún progresado a un carcinoma invasivo y poder tratarlo con facilidad. Por razón de que estas células rara vez contienen </w:t>
      </w:r>
      <w:hyperlink r:id="rId14">
        <w:r>
          <w:rPr>
            <w:rStyle w:val="InternetLink"/>
          </w:rPr>
          <w:t>glucógeno</w:t>
        </w:r>
      </w:hyperlink>
      <w:r>
        <w:rPr/>
        <w:t xml:space="preserve"> en sus superficies, durante la inspección con </w:t>
      </w:r>
      <w:hyperlink r:id="rId15">
        <w:r>
          <w:rPr>
            <w:rStyle w:val="InternetLink"/>
          </w:rPr>
          <w:t>Lugol</w:t>
        </w:r>
      </w:hyperlink>
      <w:r>
        <w:rPr/>
        <w:t xml:space="preserve">, el cuello uterino se aprecia yodo-negativas. Sin embargo, muchas de estas lesiones se tornan blanquecinas con la aplicación de </w:t>
      </w:r>
      <w:hyperlink r:id="rId16">
        <w:r>
          <w:rPr>
            <w:rStyle w:val="InternetLink"/>
          </w:rPr>
          <w:t>ácido acético</w:t>
        </w:r>
      </w:hyperlink>
      <w:r>
        <w:rPr/>
        <w:t xml:space="preserve"> al 3-5% durante una </w:t>
      </w:r>
      <w:hyperlink r:id="rId17">
        <w:r>
          <w:rPr>
            <w:rStyle w:val="InternetLink"/>
          </w:rPr>
          <w:t>colposcopia</w:t>
        </w:r>
      </w:hyperlink>
      <w:r>
        <w:rPr/>
        <w:t xml:space="preserve">. La aparición de este tipo de lesiones en el cuello uterino es indicativo para una </w:t>
      </w:r>
      <w:hyperlink r:id="rId18">
        <w:r>
          <w:rPr>
            <w:rStyle w:val="InternetLink"/>
          </w:rPr>
          <w:t>biopsia</w:t>
        </w:r>
      </w:hyperlink>
      <w:r>
        <w:rPr/>
        <w:t xml:space="preserve"> y referir su estudio a un </w:t>
      </w:r>
      <w:hyperlink r:id="rId19">
        <w:r>
          <w:rPr>
            <w:rStyle w:val="InternetLink"/>
          </w:rPr>
          <w:t>patólogo</w:t>
        </w:r>
      </w:hyperlink>
    </w:p>
    <w:p>
      <w:pPr>
        <w:pStyle w:val="Heading2"/>
        <w:rPr/>
      </w:pPr>
      <w:r>
        <w:rPr>
          <w:rStyle w:val="Mwheadline"/>
        </w:rPr>
        <w:t>Tratamiento</w:t>
      </w:r>
    </w:p>
    <w:p>
      <w:pPr>
        <w:pStyle w:val="Normal"/>
        <w:rPr/>
      </w:pPr>
      <w:r>
        <w:rPr/>
        <w:t xml:space="preserve">Aunque la displasia epitelial tiene el potencial de desaparecer espontáneamente, las lesiones persistentes deben ser eliminadas, mediante </w:t>
      </w:r>
      <w:hyperlink r:id="rId20">
        <w:r>
          <w:rPr>
            <w:rStyle w:val="InternetLink"/>
          </w:rPr>
          <w:t>cirugía</w:t>
        </w:r>
      </w:hyperlink>
      <w:r>
        <w:rPr/>
        <w:t>, quemados químicos, de calor (</w:t>
      </w:r>
      <w:hyperlink r:id="rId21">
        <w:r>
          <w:rPr>
            <w:rStyle w:val="InternetLink"/>
          </w:rPr>
          <w:t>LEEP</w:t>
        </w:r>
      </w:hyperlink>
      <w:r>
        <w:rPr/>
        <w:t xml:space="preserve">), </w:t>
      </w:r>
      <w:hyperlink r:id="rId22">
        <w:r>
          <w:rPr>
            <w:rStyle w:val="InternetLink"/>
          </w:rPr>
          <w:t>láser</w:t>
        </w:r>
      </w:hyperlink>
      <w:r>
        <w:rPr/>
        <w:t xml:space="preserve"> o por congelación (</w:t>
      </w:r>
      <w:hyperlink r:id="rId23">
        <w:r>
          <w:rPr>
            <w:rStyle w:val="InternetLink"/>
          </w:rPr>
          <w:t>crioterapia</w:t>
        </w:r>
      </w:hyperlink>
      <w:r>
        <w:rPr/>
        <w:t xml:space="preserve">). En ocasiones, especialmente en los casos más avanzados se recurre a una técnica poco invasiva conocida como </w:t>
      </w:r>
      <w:hyperlink r:id="rId24">
        <w:r>
          <w:rPr>
            <w:rStyle w:val="InternetLink"/>
          </w:rPr>
          <w:t>escisión electroquirúrgica con asa</w:t>
        </w:r>
      </w:hyperlink>
      <w:r>
        <w:rPr/>
        <w:t xml:space="preserve">, así como una </w:t>
      </w:r>
      <w:hyperlink r:id="rId25">
        <w:r>
          <w:rPr>
            <w:rStyle w:val="InternetLink"/>
          </w:rPr>
          <w:t>conización</w:t>
        </w:r>
      </w:hyperlink>
      <w:r>
        <w:rPr/>
        <w:t>.</w:t>
      </w:r>
      <w:r>
        <w:fldChar w:fldCharType="begin"/>
      </w:r>
      <w:r>
        <w:instrText> HYPERLINK "https://es.wikipedia.org/wiki/Neoplasia_cervical_intraepitelial" \l "cite_note-8"</w:instrText>
      </w:r>
      <w:r>
        <w:fldChar w:fldCharType="separate"/>
      </w:r>
      <w:r>
        <w:rPr>
          <w:rStyle w:val="InternetLink"/>
          <w:vertAlign w:val="superscript"/>
        </w:rPr>
        <w:t>8</w:t>
      </w:r>
      <w:r>
        <w:fldChar w:fldCharType="end"/>
      </w:r>
      <w:r>
        <w:rPr/>
        <w:t>​ Es esencial hacer un seguimiento constante cada 3 a 6 meses según lo indique el profesional de salud. También pueden tratarse mediante inmunomodulación local y regulación de la flora vaginal normal, reponiendo la eubiosis mediante los lactobacilos prevalentes en el medio vaginal. El exceso de agresión local puede agravar las lesiones y exacerbar la displasia, metaplasia y conducir a la anaplasia.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 xml:space="preserve">                                                </w:t>
      </w:r>
    </w:p>
    <w:sectPr>
      <w:type w:val="nextPage"/>
      <w:pgSz w:w="11906" w:h="16838"/>
      <w:pgMar w:left="1701" w:right="1701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13"/>
  <w:defaultTabStop w:val="708"/>
  <w:compat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s-ES" w:eastAsia="es-E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es-ES" w:eastAsia="es-ES" w:bidi="ar-SA"/>
    </w:rPr>
  </w:style>
  <w:style w:type="paragraph" w:styleId="Heading1">
    <w:name w:val="Heading 1"/>
    <w:basedOn w:val="Normal"/>
    <w:link w:val="Ttulo1Car"/>
    <w:uiPriority w:val="9"/>
    <w:qFormat/>
    <w:rsid w:val="0092473e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sz w:val="48"/>
      <w:szCs w:val="48"/>
    </w:rPr>
  </w:style>
  <w:style w:type="paragraph" w:styleId="Heading2">
    <w:name w:val="Heading 2"/>
    <w:basedOn w:val="Normal"/>
    <w:next w:val="Normal"/>
    <w:link w:val="Ttulo2Car"/>
    <w:uiPriority w:val="9"/>
    <w:semiHidden/>
    <w:unhideWhenUsed/>
    <w:qFormat/>
    <w:rsid w:val="0092473e"/>
    <w:pPr>
      <w:keepNext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ar" w:customStyle="1">
    <w:name w:val="Título 1 Car"/>
    <w:basedOn w:val="DefaultParagraphFont"/>
    <w:link w:val="Ttulo1"/>
    <w:uiPriority w:val="9"/>
    <w:qFormat/>
    <w:rsid w:val="0092473e"/>
    <w:rPr>
      <w:rFonts w:ascii="Times New Roman" w:hAnsi="Times New Roman" w:eastAsia="Times New Roman" w:cs="Times New Roman"/>
      <w:b/>
      <w:bCs/>
      <w:sz w:val="48"/>
      <w:szCs w:val="48"/>
    </w:rPr>
  </w:style>
  <w:style w:type="character" w:styleId="InternetLink">
    <w:name w:val="Internet Link"/>
    <w:basedOn w:val="DefaultParagraphFont"/>
    <w:uiPriority w:val="99"/>
    <w:semiHidden/>
    <w:unhideWhenUsed/>
    <w:rsid w:val="0092473e"/>
    <w:rPr>
      <w:color w:val="0000FF"/>
      <w:u w:val="single"/>
    </w:rPr>
  </w:style>
  <w:style w:type="character" w:styleId="Ttulo2Car" w:customStyle="1">
    <w:name w:val="Título 2 Car"/>
    <w:basedOn w:val="DefaultParagraphFont"/>
    <w:link w:val="Ttulo2"/>
    <w:uiPriority w:val="9"/>
    <w:semiHidden/>
    <w:qFormat/>
    <w:rsid w:val="0092473e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Mwheadline" w:customStyle="1">
    <w:name w:val="mw-headline"/>
    <w:basedOn w:val="DefaultParagraphFont"/>
    <w:qFormat/>
    <w:rsid w:val="0092473e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2473e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sz w:val="20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24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Times New Roman" w:hAnsi="Times New Roman"/>
      <w:sz w:val="24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NormalWeb">
    <w:name w:val="Normal (Web)"/>
    <w:basedOn w:val="Normal"/>
    <w:uiPriority w:val="99"/>
    <w:semiHidden/>
    <w:unhideWhenUsed/>
    <w:qFormat/>
    <w:rsid w:val="0092473e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2473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es.wikipedia.org/wiki/C&#233;lula" TargetMode="External"/><Relationship Id="rId3" Type="http://schemas.openxmlformats.org/officeDocument/2006/relationships/hyperlink" Target="https://es.wikipedia.org/wiki/Cuello_uterino" TargetMode="External"/><Relationship Id="rId4" Type="http://schemas.openxmlformats.org/officeDocument/2006/relationships/hyperlink" Target="https://es.wikipedia.org/wiki/Sistema_inmune" TargetMode="External"/><Relationship Id="rId5" Type="http://schemas.openxmlformats.org/officeDocument/2006/relationships/hyperlink" Target="https://es.wikipedia.org/wiki/C&#225;ncer_cervical" TargetMode="External"/><Relationship Id="rId6" Type="http://schemas.openxmlformats.org/officeDocument/2006/relationships/hyperlink" Target="https://es.wikipedia.org/wiki/Carcinoma_in_situ" TargetMode="Externa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hyperlink" Target="https://es.wikipedia.org/wiki/C&#225;ncer" TargetMode="External"/><Relationship Id="rId12" Type="http://schemas.openxmlformats.org/officeDocument/2006/relationships/hyperlink" Target="https://es.wikipedia.org/wiki/Enfermedad" TargetMode="External"/><Relationship Id="rId13" Type="http://schemas.openxmlformats.org/officeDocument/2006/relationships/hyperlink" Target="https://es.wikipedia.org/wiki/Papanicolaou" TargetMode="External"/><Relationship Id="rId14" Type="http://schemas.openxmlformats.org/officeDocument/2006/relationships/hyperlink" Target="https://es.wikipedia.org/wiki/Gluc&#243;geno" TargetMode="External"/><Relationship Id="rId15" Type="http://schemas.openxmlformats.org/officeDocument/2006/relationships/hyperlink" Target="https://es.wikipedia.org/wiki/Lugol" TargetMode="External"/><Relationship Id="rId16" Type="http://schemas.openxmlformats.org/officeDocument/2006/relationships/hyperlink" Target="https://es.wikipedia.org/wiki/&#193;cido_ac&#233;tico" TargetMode="External"/><Relationship Id="rId17" Type="http://schemas.openxmlformats.org/officeDocument/2006/relationships/hyperlink" Target="https://es.wikipedia.org/wiki/Colposcopia" TargetMode="External"/><Relationship Id="rId18" Type="http://schemas.openxmlformats.org/officeDocument/2006/relationships/hyperlink" Target="https://es.wikipedia.org/wiki/Biopsia" TargetMode="External"/><Relationship Id="rId19" Type="http://schemas.openxmlformats.org/officeDocument/2006/relationships/hyperlink" Target="https://es.wikipedia.org/wiki/Pat&#243;logo" TargetMode="External"/><Relationship Id="rId20" Type="http://schemas.openxmlformats.org/officeDocument/2006/relationships/hyperlink" Target="https://es.wikipedia.org/wiki/Cirug&#237;a" TargetMode="External"/><Relationship Id="rId21" Type="http://schemas.openxmlformats.org/officeDocument/2006/relationships/hyperlink" Target="https://es.wikipedia.org/wiki/LEEP" TargetMode="External"/><Relationship Id="rId22" Type="http://schemas.openxmlformats.org/officeDocument/2006/relationships/hyperlink" Target="https://es.wikipedia.org/wiki/L&#225;ser" TargetMode="External"/><Relationship Id="rId23" Type="http://schemas.openxmlformats.org/officeDocument/2006/relationships/hyperlink" Target="https://es.wikipedia.org/wiki/Crioterapia" TargetMode="External"/><Relationship Id="rId24" Type="http://schemas.openxmlformats.org/officeDocument/2006/relationships/hyperlink" Target="https://es.wikipedia.org/wiki/LEEP" TargetMode="External"/><Relationship Id="rId25" Type="http://schemas.openxmlformats.org/officeDocument/2006/relationships/hyperlink" Target="https://es.wikipedia.org/wiki/Conizaci&#243;n" TargetMode="Externa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<Relationship Id="rId2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LibreOffice/5.1.6.2$Linux_X86_64 LibreOffice_project/10m0$Build-2</Application>
  <Pages>3</Pages>
  <Words>1138</Words>
  <CharactersWithSpaces>6264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2020-03-31T16:47:00Z</dcterms:created>
  <dc:creator>TECNOLOGIA</dc:creator>
  <dc:description/>
  <dc:language>es-CU</dc:language>
  <cp:lastModifiedBy>TECNOLOGIA</cp:lastModifiedBy>
  <dcterms:modified xsi:type="dcterms:W3CDTF">2020-03-31T17:01:00Z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