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Arial Unicode MS" w:cs="Arial"/>
          <w:b/>
          <w:b/>
          <w:sz w:val="20"/>
          <w:szCs w:val="20"/>
        </w:rPr>
      </w:pPr>
      <w:r>
        <w:rPr/>
        <w:drawing>
          <wp:inline distT="0" distB="0" distL="0" distR="9525">
            <wp:extent cx="942975" cy="59055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942975" cy="590550"/>
                    </a:xfrm>
                    <a:prstGeom prst="rect">
                      <a:avLst/>
                    </a:prstGeom>
                  </pic:spPr>
                </pic:pic>
              </a:graphicData>
            </a:graphic>
          </wp:inline>
        </w:drawing>
      </w:r>
    </w:p>
    <w:p>
      <w:pPr>
        <w:pStyle w:val="Normal"/>
        <w:jc w:val="center"/>
        <w:rPr>
          <w:rFonts w:eastAsia="Arial Unicode MS" w:cs="Arial"/>
          <w:b/>
          <w:b/>
          <w:sz w:val="20"/>
          <w:szCs w:val="20"/>
        </w:rPr>
      </w:pPr>
      <w:r>
        <w:rPr>
          <w:rFonts w:eastAsia="Arial Unicode MS" w:cs="Arial"/>
          <w:b/>
          <w:sz w:val="20"/>
          <w:szCs w:val="20"/>
        </w:rPr>
      </w:r>
    </w:p>
    <w:p>
      <w:pPr>
        <w:pStyle w:val="Normal"/>
        <w:jc w:val="center"/>
        <w:rPr>
          <w:rFonts w:eastAsia="Arial Unicode MS" w:cs="Arial"/>
          <w:b/>
          <w:b/>
          <w:sz w:val="20"/>
          <w:szCs w:val="20"/>
        </w:rPr>
      </w:pPr>
      <w:r>
        <w:rPr>
          <w:rFonts w:eastAsia="Arial Unicode MS" w:cs="Arial"/>
          <w:b/>
          <w:sz w:val="20"/>
          <w:szCs w:val="20"/>
        </w:rPr>
        <w:t>UNIVERSIDAD DE CIENCIAS MÉDICAS DE LA HABANA</w:t>
      </w:r>
    </w:p>
    <w:p>
      <w:pPr>
        <w:pStyle w:val="Normal"/>
        <w:jc w:val="center"/>
        <w:rPr>
          <w:rFonts w:eastAsia="Arial Unicode MS" w:cs="Arial"/>
          <w:b/>
          <w:b/>
          <w:color w:val="FF0000"/>
        </w:rPr>
      </w:pPr>
      <w:r>
        <w:rPr>
          <w:rFonts w:eastAsia="Arial Unicode MS" w:cs="Arial"/>
          <w:b/>
          <w:sz w:val="20"/>
          <w:szCs w:val="20"/>
        </w:rPr>
        <w:t>VICERRECTORÍA ACADÉMICA</w:t>
      </w:r>
    </w:p>
    <w:p>
      <w:pPr>
        <w:pStyle w:val="Normal"/>
        <w:rPr>
          <w:rFonts w:eastAsia="Arial Unicode MS" w:cs="Arial"/>
          <w:b/>
          <w:b/>
          <w:color w:val="FF0000"/>
        </w:rPr>
      </w:pPr>
      <w:r>
        <w:rPr>
          <w:rFonts w:eastAsia="Arial Unicode MS" w:cs="Arial"/>
          <w:b/>
          <w:color w:val="FF0000"/>
        </w:rPr>
      </w:r>
    </w:p>
    <w:p>
      <w:pPr>
        <w:pStyle w:val="Normal"/>
        <w:rPr>
          <w:rFonts w:eastAsia="Arial Unicode MS" w:cs="Arial"/>
          <w:b/>
          <w:b/>
          <w:sz w:val="18"/>
          <w:szCs w:val="18"/>
          <w:u w:val="single"/>
        </w:rPr>
      </w:pPr>
      <w:r>
        <w:rPr>
          <w:rFonts w:eastAsia="Arial Unicode MS" w:cs="Arial"/>
          <w:b/>
          <w:sz w:val="18"/>
          <w:szCs w:val="18"/>
          <w:u w:val="single"/>
        </w:rPr>
        <w:t>Guía de Trabajo Independiente</w:t>
      </w:r>
    </w:p>
    <w:p>
      <w:pPr>
        <w:pStyle w:val="Normal"/>
        <w:spacing w:lineRule="auto" w:line="360" w:beforeAutospacing="1" w:afterAutospacing="1"/>
        <w:jc w:val="both"/>
        <w:rPr>
          <w:rFonts w:cs="Arial"/>
          <w:sz w:val="18"/>
          <w:szCs w:val="18"/>
          <w:lang w:val="en-US" w:eastAsia="en-US"/>
        </w:rPr>
      </w:pPr>
      <w:r>
        <w:rPr>
          <w:rFonts w:cs="Arial"/>
          <w:sz w:val="18"/>
          <w:szCs w:val="18"/>
        </w:rPr>
        <w:t xml:space="preserve">Estimado residente, </w:t>
      </w:r>
      <w:r>
        <w:rPr>
          <w:rFonts w:cs="Arial"/>
          <w:sz w:val="18"/>
          <w:szCs w:val="18"/>
          <w:lang w:val="en-US" w:eastAsia="en-US"/>
        </w:rPr>
        <w:t>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pPr>
        <w:pStyle w:val="Normal"/>
        <w:spacing w:beforeAutospacing="1" w:afterAutospacing="1"/>
        <w:jc w:val="both"/>
        <w:rPr>
          <w:rFonts w:cs="Arial"/>
          <w:b/>
          <w:b/>
          <w:sz w:val="18"/>
          <w:szCs w:val="18"/>
          <w:u w:val="single"/>
        </w:rPr>
      </w:pPr>
      <w:r>
        <w:rPr>
          <w:rFonts w:cs="Arial"/>
          <w:b/>
          <w:sz w:val="18"/>
          <w:szCs w:val="18"/>
          <w:u w:val="single"/>
        </w:rPr>
        <w:t>Módulo 15 Afecciones digestivas y bucodentales</w:t>
      </w:r>
    </w:p>
    <w:p>
      <w:pPr>
        <w:pStyle w:val="Normal"/>
        <w:spacing w:beforeAutospacing="1" w:afterAutospacing="1"/>
        <w:jc w:val="both"/>
        <w:rPr>
          <w:rFonts w:cs="Arial"/>
          <w:b/>
          <w:b/>
          <w:u w:val="single"/>
        </w:rPr>
      </w:pPr>
      <w:r>
        <w:rPr>
          <w:rFonts w:cs="Arial"/>
          <w:b/>
          <w:sz w:val="18"/>
          <w:szCs w:val="18"/>
          <w:u w:val="single"/>
        </w:rPr>
        <w:t>Duración 3 semanas</w:t>
      </w:r>
    </w:p>
    <w:p>
      <w:pPr>
        <w:pStyle w:val="Normal"/>
        <w:jc w:val="both"/>
        <w:rPr>
          <w:rFonts w:eastAsia="Arial Unicode MS" w:cs="Arial"/>
          <w:sz w:val="18"/>
          <w:szCs w:val="18"/>
        </w:rPr>
      </w:pPr>
      <w:r>
        <w:rPr>
          <w:rFonts w:eastAsia="Arial Unicode MS" w:cs="Arial"/>
          <w:sz w:val="18"/>
          <w:szCs w:val="18"/>
        </w:rPr>
        <w:t>El médico general integral es un especialista de amplio perfil entre las acciones más importantes, están las de abordar acciones de promoción a la salud, prevención de riesgos, así el diagnóstico y tratamiento oportuno que los principales problemas de salud en niños, adultos y embarazadas, por tanto, la importancia de este módulo es enseñar el abordaje de la atención integral ante riesgos y enfermedades del sistema digestivo y del aparato bucodental.</w:t>
      </w:r>
    </w:p>
    <w:p>
      <w:pPr>
        <w:pStyle w:val="Normal"/>
        <w:numPr>
          <w:ilvl w:val="0"/>
          <w:numId w:val="0"/>
        </w:numPr>
        <w:overflowPunct w:val="true"/>
        <w:jc w:val="both"/>
        <w:textAlignment w:val="baseline"/>
        <w:rPr>
          <w:rFonts w:cs="Arial"/>
          <w:sz w:val="18"/>
          <w:szCs w:val="18"/>
        </w:rPr>
      </w:pPr>
      <w:r>
        <w:rPr>
          <w:rFonts w:cs="Arial"/>
          <w:sz w:val="18"/>
          <w:szCs w:val="18"/>
        </w:rPr>
      </w:r>
    </w:p>
    <w:p>
      <w:pPr>
        <w:pStyle w:val="Normal"/>
        <w:numPr>
          <w:ilvl w:val="0"/>
          <w:numId w:val="0"/>
        </w:numPr>
        <w:overflowPunct w:val="true"/>
        <w:jc w:val="both"/>
        <w:textAlignment w:val="baseline"/>
        <w:rPr>
          <w:rFonts w:cs="Arial"/>
          <w:sz w:val="18"/>
          <w:szCs w:val="18"/>
        </w:rPr>
      </w:pPr>
      <w:r>
        <w:rPr>
          <w:rFonts w:cs="Arial"/>
          <w:sz w:val="18"/>
          <w:szCs w:val="18"/>
        </w:rPr>
        <w:t>El Aparato digestivo es uno de los sistemas donde se manifiestan numerosas afecciones, la sintomatología digestiva es extraordinariamente frecuente en la práctica médica. Además, para el médico de atención primaria es imprescindible ampliar sus conocimientos sobre las afecciones bucodentales a fin de lograr que la población atendida por él mantenga una buena salud bucal y, por consiguiente, prevenga la morbilidad que ocasionan los problemas bucodentales.</w:t>
      </w:r>
    </w:p>
    <w:p>
      <w:pPr>
        <w:pStyle w:val="Normal"/>
        <w:overflowPunct w:val="true"/>
        <w:jc w:val="both"/>
        <w:textAlignment w:val="baseline"/>
        <w:rPr>
          <w:rFonts w:cs="Arial"/>
          <w:sz w:val="18"/>
          <w:szCs w:val="18"/>
          <w:lang w:val="en-US"/>
        </w:rPr>
      </w:pPr>
      <w:r>
        <w:rPr>
          <w:rFonts w:cs="Arial"/>
          <w:sz w:val="18"/>
          <w:szCs w:val="18"/>
          <w:lang w:val="en-US"/>
        </w:rPr>
      </w:r>
    </w:p>
    <w:p>
      <w:pPr>
        <w:pStyle w:val="Normal"/>
        <w:overflowPunct w:val="true"/>
        <w:jc w:val="both"/>
        <w:textAlignment w:val="baseline"/>
        <w:rPr>
          <w:rFonts w:cs="Arial"/>
          <w:sz w:val="18"/>
          <w:szCs w:val="18"/>
          <w:lang w:val="en-US"/>
        </w:rPr>
      </w:pPr>
      <w:r>
        <w:rPr>
          <w:rFonts w:cs="Arial"/>
          <w:sz w:val="18"/>
          <w:szCs w:val="18"/>
          <w:lang w:val="en-US"/>
        </w:rPr>
        <w:t>La mucosa masticatoria y los tejidos blandos bucales son susceptibles de presentar alteraciones y enfermedades de diversos orígenes. El médico de familia tiene la responsabilidad de controlar los principales factores de riesgo de las enfermedades que pueden manifestarse en la cavidad bucal, o detectarlas precozmente, y poder realizar las interconsultas o remisiones al estomatólogo de la comunidad.</w:t>
      </w:r>
    </w:p>
    <w:p>
      <w:pPr>
        <w:pStyle w:val="Normal"/>
        <w:overflowPunct w:val="true"/>
        <w:jc w:val="both"/>
        <w:textAlignment w:val="baseline"/>
        <w:rPr>
          <w:rFonts w:cs="Arial"/>
          <w:sz w:val="18"/>
          <w:szCs w:val="18"/>
          <w:lang w:val="en-US"/>
        </w:rPr>
      </w:pPr>
      <w:r>
        <w:rPr>
          <w:rFonts w:cs="Arial"/>
          <w:sz w:val="18"/>
          <w:szCs w:val="18"/>
          <w:lang w:val="en-US"/>
        </w:rPr>
      </w:r>
    </w:p>
    <w:p>
      <w:pPr>
        <w:pStyle w:val="Normal"/>
        <w:jc w:val="both"/>
        <w:rPr/>
      </w:pPr>
      <w:r>
        <w:rPr>
          <w:rFonts w:cs="Arial"/>
          <w:sz w:val="18"/>
          <w:szCs w:val="18"/>
          <w:lang w:val="en-US"/>
        </w:rPr>
        <w:t xml:space="preserve">El aparato digestivo es el conjunto de </w:t>
      </w:r>
      <w:hyperlink r:id="rId3">
        <w:r>
          <w:rPr>
            <w:rStyle w:val="InternetLink"/>
            <w:rFonts w:cs="Arial"/>
            <w:sz w:val="18"/>
            <w:szCs w:val="18"/>
            <w:lang w:val="en-US"/>
          </w:rPr>
          <w:t>órganos</w:t>
        </w:r>
      </w:hyperlink>
      <w:r>
        <w:rPr>
          <w:rFonts w:cs="Arial"/>
          <w:sz w:val="18"/>
          <w:szCs w:val="18"/>
          <w:lang w:val="en-US"/>
        </w:rPr>
        <w:t xml:space="preserve"> encargados del proceso de la </w:t>
      </w:r>
      <w:hyperlink r:id="rId4">
        <w:r>
          <w:rPr>
            <w:rStyle w:val="InternetLink"/>
            <w:rFonts w:cs="Arial"/>
            <w:sz w:val="18"/>
            <w:szCs w:val="18"/>
            <w:lang w:val="en-US"/>
          </w:rPr>
          <w:t>digestión</w:t>
        </w:r>
      </w:hyperlink>
      <w:r>
        <w:rPr>
          <w:rFonts w:cs="Arial"/>
          <w:sz w:val="18"/>
          <w:szCs w:val="18"/>
          <w:lang w:val="en-US"/>
        </w:rPr>
        <w:t xml:space="preserve">, es decir, la transformación de los </w:t>
      </w:r>
      <w:hyperlink r:id="rId5">
        <w:r>
          <w:rPr>
            <w:rStyle w:val="InternetLink"/>
            <w:rFonts w:cs="Arial"/>
            <w:sz w:val="18"/>
            <w:szCs w:val="18"/>
            <w:lang w:val="en-US"/>
          </w:rPr>
          <w:t>alimentos</w:t>
        </w:r>
      </w:hyperlink>
      <w:r>
        <w:rPr>
          <w:rFonts w:cs="Arial"/>
          <w:sz w:val="18"/>
          <w:szCs w:val="18"/>
          <w:lang w:val="en-US"/>
        </w:rPr>
        <w:t xml:space="preserve"> para que puedan ser absorbidos y utilizados por las </w:t>
      </w:r>
      <w:hyperlink r:id="rId6">
        <w:r>
          <w:rPr>
            <w:rStyle w:val="InternetLink"/>
            <w:rFonts w:cs="Arial"/>
            <w:sz w:val="18"/>
            <w:szCs w:val="18"/>
            <w:lang w:val="en-US"/>
          </w:rPr>
          <w:t>células</w:t>
        </w:r>
      </w:hyperlink>
      <w:r>
        <w:rPr>
          <w:rFonts w:cs="Arial"/>
          <w:sz w:val="18"/>
          <w:szCs w:val="18"/>
          <w:lang w:val="en-US"/>
        </w:rPr>
        <w:t xml:space="preserve"> del organismo. La función que realiza es la de transporte de alimentos, secreción de jugos digestivos, absorción de nutrientes y excreción mediante el proceso de </w:t>
      </w:r>
      <w:hyperlink r:id="rId7">
        <w:r>
          <w:rPr>
            <w:rStyle w:val="InternetLink"/>
            <w:rFonts w:cs="Arial"/>
            <w:sz w:val="18"/>
            <w:szCs w:val="18"/>
            <w:lang w:val="en-US"/>
          </w:rPr>
          <w:t>defecación</w:t>
        </w:r>
      </w:hyperlink>
      <w:r>
        <w:rPr>
          <w:rFonts w:cs="Arial"/>
          <w:sz w:val="18"/>
          <w:szCs w:val="18"/>
          <w:lang w:val="en-US"/>
        </w:rPr>
        <w:t xml:space="preserve">. </w:t>
      </w:r>
    </w:p>
    <w:p>
      <w:pPr>
        <w:pStyle w:val="Normal"/>
        <w:jc w:val="both"/>
        <w:rPr>
          <w:rFonts w:cs="Arial"/>
          <w:sz w:val="18"/>
          <w:szCs w:val="18"/>
          <w:lang w:val="en-US"/>
        </w:rPr>
      </w:pPr>
      <w:r>
        <w:rPr>
          <w:rFonts w:cs="Arial"/>
          <w:sz w:val="18"/>
          <w:szCs w:val="18"/>
          <w:lang w:val="en-US"/>
        </w:rPr>
      </w:r>
    </w:p>
    <w:p>
      <w:pPr>
        <w:pStyle w:val="Normal"/>
        <w:jc w:val="both"/>
        <w:rPr/>
      </w:pPr>
      <w:r>
        <w:rPr>
          <w:rFonts w:cs="Arial"/>
          <w:sz w:val="18"/>
          <w:szCs w:val="18"/>
          <w:lang w:val="en-US"/>
        </w:rPr>
        <w:t xml:space="preserve">El proceso de la digestión consiste en transformar los </w:t>
      </w:r>
      <w:hyperlink r:id="rId8">
        <w:r>
          <w:rPr>
            <w:rStyle w:val="InternetLink"/>
            <w:rFonts w:cs="Arial"/>
            <w:sz w:val="18"/>
            <w:szCs w:val="18"/>
            <w:lang w:val="en-US"/>
          </w:rPr>
          <w:t>glúcidos</w:t>
        </w:r>
      </w:hyperlink>
      <w:r>
        <w:rPr>
          <w:rFonts w:cs="Arial"/>
          <w:sz w:val="18"/>
          <w:szCs w:val="18"/>
          <w:lang w:val="en-US"/>
        </w:rPr>
        <w:t xml:space="preserve">, </w:t>
      </w:r>
      <w:hyperlink r:id="rId9">
        <w:r>
          <w:rPr>
            <w:rStyle w:val="InternetLink"/>
            <w:rFonts w:cs="Arial"/>
            <w:sz w:val="18"/>
            <w:szCs w:val="18"/>
            <w:lang w:val="en-US"/>
          </w:rPr>
          <w:t>lípidos</w:t>
        </w:r>
      </w:hyperlink>
      <w:r>
        <w:rPr>
          <w:rFonts w:cs="Arial"/>
          <w:sz w:val="18"/>
          <w:szCs w:val="18"/>
          <w:lang w:val="en-US"/>
        </w:rPr>
        <w:t xml:space="preserve"> y </w:t>
      </w:r>
      <w:hyperlink r:id="rId10">
        <w:r>
          <w:rPr>
            <w:rStyle w:val="InternetLink"/>
            <w:rFonts w:cs="Arial"/>
            <w:sz w:val="18"/>
            <w:szCs w:val="18"/>
            <w:lang w:val="en-US"/>
          </w:rPr>
          <w:t>proteínas</w:t>
        </w:r>
      </w:hyperlink>
      <w:r>
        <w:rPr>
          <w:rFonts w:cs="Arial"/>
          <w:sz w:val="18"/>
          <w:szCs w:val="18"/>
          <w:lang w:val="en-US"/>
        </w:rPr>
        <w:t xml:space="preserve"> contenidos en los alimentos en unidades más sencillas, gracias a las enzimas digestivas, para que puedan ser absorbidos y transportados por la </w:t>
      </w:r>
      <w:hyperlink r:id="rId11">
        <w:r>
          <w:rPr>
            <w:rStyle w:val="InternetLink"/>
            <w:rFonts w:cs="Arial"/>
            <w:sz w:val="18"/>
            <w:szCs w:val="18"/>
            <w:lang w:val="en-US"/>
          </w:rPr>
          <w:t>sangre</w:t>
        </w:r>
      </w:hyperlink>
      <w:r>
        <w:rPr>
          <w:rFonts w:cs="Arial"/>
          <w:sz w:val="18"/>
          <w:szCs w:val="18"/>
          <w:lang w:val="en-US"/>
        </w:rPr>
        <w:t>.</w:t>
      </w:r>
    </w:p>
    <w:p>
      <w:pPr>
        <w:pStyle w:val="Normal"/>
        <w:jc w:val="both"/>
        <w:rPr>
          <w:rFonts w:cs="Arial"/>
          <w:sz w:val="18"/>
          <w:szCs w:val="18"/>
          <w:lang w:val="en-US"/>
        </w:rPr>
      </w:pPr>
      <w:r>
        <w:rPr>
          <w:rFonts w:cs="Arial"/>
          <w:sz w:val="18"/>
          <w:szCs w:val="18"/>
          <w:lang w:val="en-US"/>
        </w:rPr>
      </w:r>
    </w:p>
    <w:p>
      <w:pPr>
        <w:pStyle w:val="Normal"/>
        <w:jc w:val="both"/>
        <w:rPr/>
      </w:pPr>
      <w:r>
        <w:rPr>
          <w:rFonts w:cs="Arial"/>
          <w:sz w:val="18"/>
          <w:szCs w:val="18"/>
          <w:lang w:val="en-US"/>
        </w:rPr>
        <w:t xml:space="preserve">El tubo digestivo es la principal superficie de intercambio entre el medio externo y el interno en los animales </w:t>
      </w:r>
      <w:hyperlink r:id="rId12">
        <w:r>
          <w:rPr>
            <w:rStyle w:val="InternetLink"/>
            <w:rFonts w:cs="Arial"/>
            <w:sz w:val="18"/>
            <w:szCs w:val="18"/>
            <w:lang w:val="en-US"/>
          </w:rPr>
          <w:t>vertebrados</w:t>
        </w:r>
      </w:hyperlink>
      <w:r>
        <w:rPr>
          <w:rFonts w:cs="Arial"/>
          <w:sz w:val="18"/>
          <w:szCs w:val="18"/>
          <w:lang w:val="en-US"/>
        </w:rPr>
        <w:t xml:space="preserve">. En un hombre adulto medio la superficie total de la mucosa gastrointestinal desplegando las microvellosidades intestinales es de alrededor de 350 metros cuadrados. Gracias al tubo digestivo el individuo puede realizar el proceso de </w:t>
      </w:r>
      <w:hyperlink r:id="rId13">
        <w:r>
          <w:rPr>
            <w:rStyle w:val="InternetLink"/>
            <w:rFonts w:cs="Arial"/>
            <w:sz w:val="18"/>
            <w:szCs w:val="18"/>
            <w:lang w:val="en-US"/>
          </w:rPr>
          <w:t>nutrición</w:t>
        </w:r>
      </w:hyperlink>
      <w:r>
        <w:rPr>
          <w:rFonts w:cs="Arial"/>
          <w:sz w:val="18"/>
          <w:szCs w:val="18"/>
          <w:lang w:val="en-US"/>
        </w:rPr>
        <w:t xml:space="preserve"> mediante la digestión y absorción de los nutrientes contenidos en los alimentos, pero no es menos importante su función de defensa, pues dispone de sistemas de reconocimiento y rechazo de agentes o sustancias extrañas procedentes del mundo exterior. </w:t>
      </w:r>
    </w:p>
    <w:p>
      <w:pPr>
        <w:pStyle w:val="Normal"/>
        <w:jc w:val="both"/>
        <w:rPr>
          <w:rFonts w:cs="Arial"/>
          <w:sz w:val="18"/>
          <w:szCs w:val="18"/>
          <w:lang w:val="en-US"/>
        </w:rPr>
      </w:pPr>
      <w:r>
        <w:rPr>
          <w:rFonts w:cs="Arial"/>
          <w:sz w:val="18"/>
          <w:szCs w:val="18"/>
          <w:lang w:val="en-US"/>
        </w:rPr>
      </w:r>
    </w:p>
    <w:p>
      <w:pPr>
        <w:pStyle w:val="Normal"/>
        <w:jc w:val="both"/>
        <w:rPr/>
      </w:pPr>
      <w:r>
        <w:rPr>
          <w:rFonts w:cs="Arial"/>
          <w:sz w:val="18"/>
          <w:szCs w:val="18"/>
          <w:lang w:val="en-US"/>
        </w:rPr>
        <w:t xml:space="preserve">Estas funciones dependen de las estructuras propias del tubo digestivo como la barrera mucosa y el </w:t>
      </w:r>
      <w:hyperlink r:id="rId14">
        <w:r>
          <w:rPr>
            <w:rStyle w:val="InternetLink"/>
            <w:rFonts w:cs="Arial"/>
            <w:sz w:val="18"/>
            <w:szCs w:val="18"/>
            <w:lang w:val="en-US"/>
          </w:rPr>
          <w:t>sistema inmune</w:t>
        </w:r>
      </w:hyperlink>
      <w:r>
        <w:rPr>
          <w:rFonts w:cs="Arial"/>
          <w:sz w:val="18"/>
          <w:szCs w:val="18"/>
          <w:lang w:val="en-US"/>
        </w:rPr>
        <w:t xml:space="preserve">, pero juega un papel muy importante la colonización bacteriana que constituye la llamada </w:t>
      </w:r>
      <w:hyperlink r:id="rId15">
        <w:r>
          <w:rPr>
            <w:rStyle w:val="InternetLink"/>
            <w:rFonts w:cs="Arial"/>
            <w:sz w:val="18"/>
            <w:szCs w:val="18"/>
            <w:lang w:val="en-US"/>
          </w:rPr>
          <w:t>microflora intestinal</w:t>
        </w:r>
      </w:hyperlink>
      <w:r>
        <w:rPr>
          <w:rFonts w:cs="Arial"/>
          <w:sz w:val="18"/>
          <w:szCs w:val="18"/>
          <w:lang w:val="en-US"/>
        </w:rPr>
        <w:t xml:space="preserve"> formada por bacterias beneficiosas para el organismo. Se calcula que un individuo normal tiene en su intestino alrededor de 100 billones de bacterias pertenecientes a entre 500 y 1000 especies diferentes. ​ </w:t>
      </w:r>
    </w:p>
    <w:p>
      <w:pPr>
        <w:pStyle w:val="Normal"/>
        <w:jc w:val="both"/>
        <w:rPr>
          <w:rFonts w:cs="Arial"/>
          <w:sz w:val="18"/>
          <w:szCs w:val="18"/>
          <w:lang w:val="en-US"/>
        </w:rPr>
      </w:pPr>
      <w:r>
        <w:rPr>
          <w:rFonts w:cs="Arial"/>
          <w:sz w:val="18"/>
          <w:szCs w:val="18"/>
          <w:lang w:val="en-US"/>
        </w:rPr>
      </w:r>
    </w:p>
    <w:p>
      <w:pPr>
        <w:pStyle w:val="Normal"/>
        <w:jc w:val="both"/>
        <w:rPr/>
      </w:pPr>
      <w:r>
        <w:rPr>
          <w:rFonts w:cs="Arial"/>
          <w:sz w:val="18"/>
          <w:szCs w:val="18"/>
          <w:lang w:val="en-US"/>
        </w:rPr>
        <w:t xml:space="preserve">Las </w:t>
      </w:r>
      <w:hyperlink r:id="rId16">
        <w:r>
          <w:rPr>
            <w:rStyle w:val="InternetLink"/>
            <w:rFonts w:cs="Arial"/>
            <w:sz w:val="18"/>
            <w:szCs w:val="18"/>
            <w:lang w:val="en-US"/>
          </w:rPr>
          <w:t>enfermedades</w:t>
        </w:r>
      </w:hyperlink>
      <w:r>
        <w:rPr>
          <w:rFonts w:cs="Arial"/>
          <w:sz w:val="18"/>
          <w:szCs w:val="18"/>
          <w:lang w:val="en-US"/>
        </w:rPr>
        <w:t xml:space="preserve"> del </w:t>
      </w:r>
      <w:hyperlink r:id="rId17">
        <w:r>
          <w:rPr>
            <w:rStyle w:val="InternetLink"/>
            <w:rFonts w:cs="Arial"/>
            <w:sz w:val="18"/>
            <w:szCs w:val="18"/>
            <w:lang w:val="en-US"/>
          </w:rPr>
          <w:t>aparato digestivo</w:t>
        </w:r>
      </w:hyperlink>
      <w:r>
        <w:rPr>
          <w:rFonts w:cs="Arial"/>
          <w:sz w:val="18"/>
          <w:szCs w:val="18"/>
          <w:lang w:val="en-US"/>
        </w:rPr>
        <w:t xml:space="preserve"> afectan a casi veinte millones de personas según estadísticas internacionales</w:t>
      </w:r>
      <w:hyperlink r:id="rId18">
        <w:r>
          <w:rPr>
            <w:rFonts w:cs="Arial"/>
            <w:sz w:val="18"/>
            <w:szCs w:val="18"/>
            <w:lang w:val="en-US"/>
          </w:rPr>
          <w:t xml:space="preserve">, y son la causa principal de atención médica; ocupando el segundo lugar después de las </w:t>
        </w:r>
      </w:hyperlink>
      <w:hyperlink r:id="rId19">
        <w:r>
          <w:rPr>
            <w:rStyle w:val="InternetLink"/>
            <w:rFonts w:cs="Arial"/>
            <w:sz w:val="18"/>
            <w:szCs w:val="18"/>
            <w:lang w:val="en-US"/>
          </w:rPr>
          <w:t>enfermedades cardiovasculares</w:t>
        </w:r>
      </w:hyperlink>
      <w:r>
        <w:rPr>
          <w:rFonts w:cs="Arial"/>
          <w:sz w:val="18"/>
          <w:szCs w:val="18"/>
          <w:lang w:val="en-US"/>
        </w:rPr>
        <w:t xml:space="preserve">. </w:t>
      </w:r>
    </w:p>
    <w:p>
      <w:pPr>
        <w:pStyle w:val="Normal"/>
        <w:spacing w:beforeAutospacing="1" w:afterAutospacing="1"/>
        <w:jc w:val="both"/>
        <w:rPr>
          <w:rFonts w:cs="Arial"/>
          <w:b/>
          <w:b/>
          <w:sz w:val="18"/>
          <w:szCs w:val="18"/>
          <w:u w:val="single"/>
        </w:rPr>
      </w:pPr>
      <w:r>
        <w:rPr>
          <w:rFonts w:cs="Arial"/>
          <w:b/>
          <w:sz w:val="18"/>
          <w:szCs w:val="18"/>
          <w:u w:val="single"/>
        </w:rPr>
      </w:r>
    </w:p>
    <w:p>
      <w:pPr>
        <w:pStyle w:val="Normal"/>
        <w:spacing w:beforeAutospacing="1" w:afterAutospacing="1"/>
        <w:jc w:val="both"/>
        <w:rPr>
          <w:rFonts w:cs="Arial"/>
          <w:b/>
          <w:b/>
          <w:sz w:val="18"/>
          <w:szCs w:val="18"/>
          <w:u w:val="single"/>
        </w:rPr>
      </w:pPr>
      <w:r>
        <w:rPr>
          <w:rFonts w:cs="Arial"/>
          <w:b/>
          <w:sz w:val="18"/>
          <w:szCs w:val="18"/>
          <w:u w:val="single"/>
        </w:rPr>
      </w:r>
    </w:p>
    <w:p>
      <w:pPr>
        <w:pStyle w:val="Normal"/>
        <w:spacing w:beforeAutospacing="1" w:afterAutospacing="1"/>
        <w:jc w:val="both"/>
        <w:rPr>
          <w:rFonts w:cs="Arial"/>
          <w:b/>
          <w:b/>
          <w:sz w:val="18"/>
          <w:szCs w:val="18"/>
          <w:u w:val="single"/>
        </w:rPr>
      </w:pPr>
      <w:r>
        <w:rPr>
          <w:rFonts w:cs="Arial"/>
          <w:b/>
          <w:sz w:val="18"/>
          <w:szCs w:val="18"/>
          <w:u w:val="single"/>
        </w:rPr>
        <w:t xml:space="preserve">Objetivos: </w:t>
      </w:r>
    </w:p>
    <w:p>
      <w:pPr>
        <w:pStyle w:val="Normal"/>
        <w:numPr>
          <w:ilvl w:val="0"/>
          <w:numId w:val="1"/>
        </w:numPr>
        <w:overflowPunct w:val="true"/>
        <w:jc w:val="both"/>
        <w:textAlignment w:val="baseline"/>
        <w:rPr>
          <w:rFonts w:cs="Arial"/>
          <w:color w:val="000000"/>
          <w:sz w:val="18"/>
          <w:szCs w:val="18"/>
          <w:lang w:val="en-US"/>
        </w:rPr>
      </w:pPr>
      <w:r>
        <w:rPr>
          <w:rFonts w:cs="Arial"/>
          <w:color w:val="000000"/>
          <w:sz w:val="18"/>
          <w:szCs w:val="18"/>
          <w:lang w:val="en-US"/>
        </w:rPr>
        <w:t>Ofrecer atención integral a las personas, las familias, la comunidad, en función del estado de salud de la población, mediante la realización de las actividades de promoción, prevención, diagnóstico, tratamiento y rehabilitación de salud.</w:t>
      </w:r>
    </w:p>
    <w:p>
      <w:pPr>
        <w:pStyle w:val="Normal"/>
        <w:jc w:val="both"/>
        <w:rPr>
          <w:rFonts w:cs="Arial"/>
          <w:color w:val="000000"/>
          <w:sz w:val="18"/>
          <w:szCs w:val="18"/>
          <w:lang w:val="en-US"/>
        </w:rPr>
      </w:pPr>
      <w:r>
        <w:rPr>
          <w:rFonts w:cs="Arial"/>
          <w:color w:val="000000"/>
          <w:sz w:val="18"/>
          <w:szCs w:val="18"/>
          <w:lang w:val="en-US"/>
        </w:rPr>
      </w:r>
    </w:p>
    <w:p>
      <w:pPr>
        <w:pStyle w:val="Normal"/>
        <w:numPr>
          <w:ilvl w:val="0"/>
          <w:numId w:val="1"/>
        </w:numPr>
        <w:overflowPunct w:val="true"/>
        <w:jc w:val="both"/>
        <w:textAlignment w:val="baseline"/>
        <w:rPr>
          <w:rFonts w:cs="Arial"/>
          <w:color w:val="000000"/>
          <w:sz w:val="18"/>
          <w:szCs w:val="18"/>
          <w:lang w:val="en-US"/>
        </w:rPr>
      </w:pPr>
      <w:r>
        <w:rPr>
          <w:rFonts w:cs="Arial"/>
          <w:color w:val="000000"/>
          <w:sz w:val="18"/>
          <w:szCs w:val="18"/>
          <w:lang w:val="en-US"/>
        </w:rPr>
        <w:t>Aplicar los métodos, técnicas, procedimientos, habilidades y los modos de actuación profesional, logrando una adecuada atención de las afecciones digestivas y bucodentales por los futuros especialistas de MGI en la APS.</w:t>
      </w:r>
    </w:p>
    <w:p>
      <w:pPr>
        <w:pStyle w:val="Normal"/>
        <w:jc w:val="both"/>
        <w:rPr>
          <w:rFonts w:cs="Arial"/>
          <w:color w:val="000000"/>
          <w:sz w:val="18"/>
          <w:szCs w:val="18"/>
          <w:lang w:val="en-US"/>
        </w:rPr>
      </w:pPr>
      <w:r>
        <w:rPr>
          <w:rFonts w:cs="Arial"/>
          <w:color w:val="000000"/>
          <w:sz w:val="18"/>
          <w:szCs w:val="18"/>
          <w:lang w:val="en-US"/>
        </w:rPr>
      </w:r>
    </w:p>
    <w:p>
      <w:pPr>
        <w:pStyle w:val="Normal"/>
        <w:numPr>
          <w:ilvl w:val="0"/>
          <w:numId w:val="1"/>
        </w:numPr>
        <w:overflowPunct w:val="true"/>
        <w:jc w:val="both"/>
        <w:textAlignment w:val="baseline"/>
        <w:rPr>
          <w:rFonts w:cs="Arial"/>
          <w:sz w:val="18"/>
          <w:szCs w:val="18"/>
        </w:rPr>
      </w:pPr>
      <w:r>
        <w:rPr>
          <w:rFonts w:cs="Arial"/>
          <w:sz w:val="18"/>
          <w:szCs w:val="18"/>
        </w:rPr>
        <w:t>Actuar dentro de un marco ético adecuado, con un   desempeño que exprese el humanismo que forman parte de los valores que se integran en la personalidad profesional, así como hábitos de trabajo en colectivo de auto superación y auto educación constantes.</w:t>
      </w:r>
    </w:p>
    <w:p>
      <w:pPr>
        <w:pStyle w:val="Normal"/>
        <w:spacing w:beforeAutospacing="1" w:afterAutospacing="1"/>
        <w:jc w:val="both"/>
        <w:rPr>
          <w:rFonts w:cs="Arial"/>
          <w:b/>
          <w:b/>
          <w:sz w:val="18"/>
          <w:szCs w:val="18"/>
          <w:u w:val="single"/>
        </w:rPr>
      </w:pPr>
      <w:r>
        <w:rPr>
          <w:rFonts w:cs="Arial"/>
          <w:b/>
          <w:sz w:val="18"/>
          <w:szCs w:val="18"/>
          <w:u w:val="single"/>
        </w:rPr>
        <w:t>Temas:</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SINDROME ICTERICO.</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Concepto. Fisiopatología. Etiología. Clasificación patogénica: prehepático, hepático y posthepático.</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Manifestaciones clínicas de acuerdo a la enfermedad de base. Indicación e interpretación de los exámenes complementarios. Indicaciones de laparoscopía y de biopsia hepática.</w:t>
      </w:r>
      <w:r>
        <w:rPr>
          <w:rFonts w:cs="Calibri" w:cstheme="minorHAnsi"/>
          <w:color w:val="FF0000"/>
          <w:sz w:val="16"/>
          <w:szCs w:val="16"/>
          <w:lang w:val="en-US"/>
        </w:rPr>
        <w:t xml:space="preserve"> </w:t>
      </w:r>
      <w:r>
        <w:rPr>
          <w:rFonts w:cs="Calibri" w:cstheme="minorHAnsi"/>
          <w:sz w:val="18"/>
          <w:szCs w:val="18"/>
          <w:lang w:val="en-US"/>
        </w:rPr>
        <w:t>Tratamiento integral de la enfermedad de base. Criterios de interconsulta, ingreso en el hogar y hospitalario. Seguimiento ambulatorio del paciente con un Síndrome ictérico.</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Evolución del paciente ingresado. Complicaciones de acuerdo a la enfermedad de base. Pronóstico de acuerdo a la enfermedad de base.</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COLECISTOPATIAS CRONICAS.</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 xml:space="preserve"> </w:t>
      </w:r>
      <w:r>
        <w:rPr>
          <w:rFonts w:cs="Calibri" w:cstheme="minorHAnsi"/>
          <w:sz w:val="18"/>
          <w:szCs w:val="18"/>
          <w:lang w:val="en-US"/>
        </w:rPr>
        <w:t xml:space="preserve">Concepto. Fisiopatología. Factores de riesgo. Factores predisponentes y desencadenantes. </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 xml:space="preserve">Cuadro clínico. Fundamentos, indicación e interpretación de los exámenes complementarios. USD. Diagnóstico positivo  y diferencial. </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Tratamiento integral. Uso de la M.N.T. Indicación de la conducta quirúrgica. Criterios de interconsulta y de ingreso en el hogar y hospitalario. Seguimiento ambulatorio. Alteraciones psíquicas que frecuentemente presentan el paciente y sus familiares. Dispensarización.</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Pronóstico y evolución. Complicaciones.</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r>
    </w:p>
    <w:p>
      <w:pPr>
        <w:pStyle w:val="Normal"/>
        <w:spacing w:lineRule="auto" w:line="360" w:beforeAutospacing="1" w:afterAutospacing="1"/>
        <w:jc w:val="both"/>
        <w:rPr>
          <w:rFonts w:cs="Arial"/>
          <w:b/>
          <w:b/>
          <w:sz w:val="18"/>
          <w:szCs w:val="18"/>
          <w:lang w:val="en-US" w:eastAsia="en-US"/>
        </w:rPr>
      </w:pPr>
      <w:r>
        <w:rPr>
          <w:rFonts w:cs="Arial"/>
          <w:b/>
          <w:sz w:val="18"/>
          <w:szCs w:val="18"/>
          <w:lang w:val="en-US" w:eastAsia="en-US"/>
        </w:rPr>
        <w:t xml:space="preserve">Tareas </w:t>
      </w:r>
    </w:p>
    <w:p>
      <w:pPr>
        <w:pStyle w:val="ListParagraph"/>
        <w:numPr>
          <w:ilvl w:val="0"/>
          <w:numId w:val="2"/>
        </w:numPr>
        <w:spacing w:lineRule="auto" w:line="360" w:beforeAutospacing="1" w:afterAutospacing="1"/>
        <w:jc w:val="both"/>
        <w:rPr>
          <w:rFonts w:cs="Arial"/>
          <w:sz w:val="18"/>
          <w:szCs w:val="18"/>
          <w:lang w:val="en-US" w:eastAsia="en-US"/>
        </w:rPr>
      </w:pPr>
      <w:r>
        <w:rPr>
          <w:rFonts w:cs="Arial"/>
          <w:sz w:val="18"/>
          <w:szCs w:val="18"/>
          <w:lang w:val="en-US" w:eastAsia="en-US"/>
        </w:rPr>
        <w:t>Revisa  detenidamente la Bibliografía  que aparece al final de esta guía</w:t>
      </w:r>
    </w:p>
    <w:p>
      <w:pPr>
        <w:pStyle w:val="ListParagraph"/>
        <w:numPr>
          <w:ilvl w:val="0"/>
          <w:numId w:val="2"/>
        </w:numPr>
        <w:spacing w:lineRule="auto" w:line="360" w:beforeAutospacing="1" w:afterAutospacing="1"/>
        <w:jc w:val="both"/>
        <w:rPr>
          <w:rFonts w:cs="Arial"/>
          <w:b/>
          <w:b/>
          <w:bCs/>
          <w:sz w:val="18"/>
          <w:szCs w:val="18"/>
          <w:lang w:val="en-US" w:eastAsia="en-US"/>
        </w:rPr>
      </w:pPr>
      <w:r>
        <w:rPr>
          <w:rFonts w:cs="Arial"/>
          <w:sz w:val="18"/>
          <w:szCs w:val="18"/>
          <w:lang w:val="en-US" w:eastAsia="en-US"/>
        </w:rPr>
        <w:t>Confecciona un resumen de cada  tema.</w:t>
      </w:r>
    </w:p>
    <w:p>
      <w:pPr>
        <w:pStyle w:val="ListParagraph"/>
        <w:numPr>
          <w:ilvl w:val="0"/>
          <w:numId w:val="2"/>
        </w:numPr>
        <w:spacing w:lineRule="auto" w:line="360" w:beforeAutospacing="1" w:afterAutospacing="1"/>
        <w:jc w:val="both"/>
        <w:rPr>
          <w:rFonts w:cs="Arial"/>
          <w:bCs/>
          <w:sz w:val="18"/>
          <w:szCs w:val="18"/>
          <w:lang w:val="en-US" w:eastAsia="en-US"/>
        </w:rPr>
      </w:pPr>
      <w:r>
        <w:rPr>
          <w:rFonts w:cs="Arial"/>
          <w:bCs/>
          <w:sz w:val="18"/>
          <w:szCs w:val="18"/>
          <w:lang w:val="en-US" w:eastAsia="en-US"/>
        </w:rPr>
        <w:t>Con las dudas que puedas presentar aclaras con tu profesor por vía digital.</w:t>
      </w:r>
    </w:p>
    <w:p>
      <w:pPr>
        <w:pStyle w:val="ListParagraph"/>
        <w:keepNext/>
        <w:numPr>
          <w:ilvl w:val="0"/>
          <w:numId w:val="2"/>
        </w:numPr>
        <w:jc w:val="both"/>
        <w:outlineLvl w:val="1"/>
        <w:rPr>
          <w:rFonts w:cs="Calibri" w:cstheme="minorHAnsi"/>
          <w:sz w:val="18"/>
          <w:szCs w:val="18"/>
        </w:rPr>
      </w:pPr>
      <w:r>
        <w:rPr>
          <w:rFonts w:cs="Arial"/>
          <w:bCs/>
          <w:sz w:val="18"/>
          <w:szCs w:val="18"/>
          <w:lang w:val="en-US" w:eastAsia="en-US"/>
        </w:rPr>
        <w:t>Responde la siguiente guía de preguntas:</w:t>
      </w:r>
    </w:p>
    <w:p>
      <w:pPr>
        <w:pStyle w:val="Normal"/>
        <w:keepNext/>
        <w:numPr>
          <w:ilvl w:val="0"/>
          <w:numId w:val="0"/>
        </w:numPr>
        <w:jc w:val="both"/>
        <w:outlineLvl w:val="1"/>
        <w:rPr>
          <w:rFonts w:cs="Calibri" w:cstheme="minorHAnsi"/>
          <w:sz w:val="18"/>
          <w:szCs w:val="18"/>
        </w:rPr>
      </w:pPr>
      <w:r>
        <w:rPr>
          <w:rFonts w:cs="Calibri" w:cstheme="minorHAnsi"/>
          <w:sz w:val="18"/>
          <w:szCs w:val="18"/>
        </w:rPr>
      </w:r>
    </w:p>
    <w:p>
      <w:pPr>
        <w:pStyle w:val="ListParagraph"/>
        <w:keepNext/>
        <w:numPr>
          <w:ilvl w:val="0"/>
          <w:numId w:val="3"/>
        </w:numPr>
        <w:jc w:val="both"/>
        <w:outlineLvl w:val="1"/>
        <w:rPr>
          <w:rFonts w:cs="Calibri" w:cstheme="minorHAnsi"/>
          <w:sz w:val="18"/>
          <w:szCs w:val="18"/>
        </w:rPr>
      </w:pPr>
      <w:r>
        <w:rPr>
          <w:rFonts w:cs="Calibri" w:cstheme="minorHAnsi"/>
          <w:sz w:val="18"/>
          <w:szCs w:val="18"/>
        </w:rPr>
        <w:t>La ictericia según su causa puede tener varias clasificaciones. Menciónelas.</w:t>
      </w:r>
    </w:p>
    <w:p>
      <w:pPr>
        <w:pStyle w:val="ListParagraph"/>
        <w:keepNext/>
        <w:numPr>
          <w:ilvl w:val="0"/>
          <w:numId w:val="3"/>
        </w:numPr>
        <w:jc w:val="both"/>
        <w:outlineLvl w:val="1"/>
        <w:rPr>
          <w:rFonts w:cs="Calibri" w:cstheme="minorHAnsi"/>
          <w:sz w:val="18"/>
          <w:szCs w:val="18"/>
        </w:rPr>
      </w:pPr>
      <w:r>
        <w:rPr>
          <w:rFonts w:cs="Calibri" w:cstheme="minorHAnsi"/>
          <w:sz w:val="18"/>
          <w:szCs w:val="18"/>
        </w:rPr>
        <w:t>Diga el diagnostico positivo del Síndrome ictérico.</w:t>
      </w:r>
    </w:p>
    <w:p>
      <w:pPr>
        <w:pStyle w:val="ListParagraph"/>
        <w:keepNext/>
        <w:numPr>
          <w:ilvl w:val="0"/>
          <w:numId w:val="3"/>
        </w:numPr>
        <w:jc w:val="both"/>
        <w:outlineLvl w:val="1"/>
        <w:rPr>
          <w:rFonts w:cs="Calibri" w:cstheme="minorHAnsi"/>
          <w:sz w:val="18"/>
          <w:szCs w:val="18"/>
        </w:rPr>
      </w:pPr>
      <w:r>
        <w:rPr>
          <w:rFonts w:cs="Calibri" w:cstheme="minorHAnsi"/>
          <w:sz w:val="18"/>
          <w:szCs w:val="18"/>
        </w:rPr>
        <w:t>Diga el diagnóstico diferencial del Síndrome ictérico.</w:t>
      </w:r>
    </w:p>
    <w:p>
      <w:pPr>
        <w:pStyle w:val="ListParagraph"/>
        <w:keepNext/>
        <w:numPr>
          <w:ilvl w:val="0"/>
          <w:numId w:val="3"/>
        </w:numPr>
        <w:jc w:val="both"/>
        <w:outlineLvl w:val="1"/>
        <w:rPr>
          <w:rFonts w:cs="Calibri" w:cstheme="minorHAnsi"/>
          <w:sz w:val="18"/>
          <w:szCs w:val="18"/>
        </w:rPr>
      </w:pPr>
      <w:r>
        <w:rPr>
          <w:rFonts w:cs="Calibri" w:cstheme="minorHAnsi"/>
          <w:sz w:val="18"/>
          <w:szCs w:val="18"/>
        </w:rPr>
        <w:t>Compare las características clínicas y de laboratorio de la ictericia hepatocelular y de la ictericia colestásica.</w:t>
      </w:r>
    </w:p>
    <w:p>
      <w:pPr>
        <w:pStyle w:val="ListParagraph"/>
        <w:keepNext/>
        <w:numPr>
          <w:ilvl w:val="0"/>
          <w:numId w:val="3"/>
        </w:numPr>
        <w:jc w:val="both"/>
        <w:outlineLvl w:val="1"/>
        <w:rPr>
          <w:rFonts w:cs="Calibri" w:cstheme="minorHAnsi"/>
          <w:sz w:val="18"/>
          <w:szCs w:val="18"/>
        </w:rPr>
      </w:pPr>
      <w:r>
        <w:rPr>
          <w:rFonts w:cs="Calibri" w:cstheme="minorHAnsi"/>
          <w:sz w:val="18"/>
          <w:szCs w:val="18"/>
        </w:rPr>
        <w:t>Explique la conducta a seguir ante un paciente con ictericia.</w:t>
      </w:r>
    </w:p>
    <w:p>
      <w:pPr>
        <w:pStyle w:val="ListParagraph"/>
        <w:keepNext/>
        <w:numPr>
          <w:ilvl w:val="0"/>
          <w:numId w:val="3"/>
        </w:numPr>
        <w:jc w:val="both"/>
        <w:outlineLvl w:val="1"/>
        <w:rPr>
          <w:rFonts w:cs="Calibri" w:cstheme="minorHAnsi"/>
          <w:sz w:val="18"/>
          <w:szCs w:val="18"/>
        </w:rPr>
      </w:pPr>
      <w:r>
        <w:rPr>
          <w:rFonts w:cs="Calibri" w:cstheme="minorHAnsi"/>
          <w:sz w:val="18"/>
          <w:szCs w:val="18"/>
        </w:rPr>
        <w:t>Mencione  los factores de riesgo para el desarrollo de colelitiasis.</w:t>
      </w:r>
    </w:p>
    <w:p>
      <w:pPr>
        <w:pStyle w:val="Normal"/>
        <w:keepNext/>
        <w:numPr>
          <w:ilvl w:val="0"/>
          <w:numId w:val="0"/>
        </w:numPr>
        <w:jc w:val="both"/>
        <w:outlineLvl w:val="1"/>
        <w:rPr>
          <w:rFonts w:cs="Calibri" w:cstheme="minorHAnsi"/>
          <w:sz w:val="18"/>
          <w:szCs w:val="18"/>
        </w:rPr>
      </w:pPr>
      <w:r>
        <w:rPr>
          <w:rFonts w:cs="Calibri" w:cstheme="minorHAnsi"/>
          <w:sz w:val="18"/>
          <w:szCs w:val="18"/>
        </w:rPr>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r>
    </w:p>
    <w:p>
      <w:pPr>
        <w:pStyle w:val="Normal"/>
        <w:keepNext/>
        <w:numPr>
          <w:ilvl w:val="0"/>
          <w:numId w:val="0"/>
        </w:numPr>
        <w:jc w:val="both"/>
        <w:outlineLvl w:val="1"/>
        <w:rPr>
          <w:rFonts w:cs="Calibri" w:cstheme="minorHAnsi"/>
          <w:color w:val="FF0000"/>
          <w:sz w:val="16"/>
          <w:szCs w:val="16"/>
          <w:lang w:val="en-US"/>
        </w:rPr>
      </w:pPr>
      <w:r>
        <w:rPr>
          <w:rFonts w:cs="Calibri" w:cstheme="minorHAnsi"/>
          <w:color w:val="FF0000"/>
          <w:sz w:val="16"/>
          <w:szCs w:val="16"/>
          <w:lang w:val="en-US"/>
        </w:rPr>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 xml:space="preserve">TUMORES ABDOMINALES. </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Concepto. Causas más frecuentes en las diferentes edades.</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Cuadro clínico. Técnica del examen físico abdominal en la búsqueda de tumores abdominales. Diagnóstico positivo, diferencial y etiológico, de acuerdo a la edad. Fundamentos, indicación e interpretación de los exámenes complementarios. Conducta del médico de la familia al detectar un tumor abdominal. Criterios de interconsulta con el cirujano. Indicación de la conducta quirúrgica. Seguimiento ambulatorio del paciente de acuerdo a la causa. Alteraciones psíquicas que frecuentemente presentan el paciente y sus familiares. Dispensarización .Pronóstico y evolución de acuerdo a la causa. Complicaciones de acuerdo a la localización y tipo de tumor.</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CANCER DE VIAS DIGESTIVAS. Enfoque epidemiológico. Factores de riesgo. Medidas de prevención.</w:t>
      </w:r>
    </w:p>
    <w:p>
      <w:pPr>
        <w:pStyle w:val="Normal"/>
        <w:keepNext/>
        <w:numPr>
          <w:ilvl w:val="0"/>
          <w:numId w:val="0"/>
        </w:numPr>
        <w:jc w:val="both"/>
        <w:outlineLvl w:val="1"/>
        <w:rPr>
          <w:rFonts w:cs="Calibri" w:cstheme="minorHAnsi"/>
          <w:sz w:val="18"/>
          <w:szCs w:val="18"/>
          <w:lang w:val="en-US"/>
        </w:rPr>
      </w:pPr>
      <w:r>
        <w:rPr>
          <w:rFonts w:cs="Calibri" w:cstheme="minorHAnsi"/>
          <w:sz w:val="18"/>
          <w:szCs w:val="18"/>
          <w:lang w:val="en-US"/>
        </w:rPr>
        <w:t xml:space="preserve">Cuadro clínico de acuerdo a su localización. Indicación e interpretación de los exámenes complementarios de acuerdo a su localización. Diagnóstico diferencial. Criterios de interconsulta, ingreso en el hogar y hospitalario. Seguimiento del paciente ingresado. Tratamiento integral del paciente. Indicaciones de los citostáticos y radioterapia. Indicación de la conducta quirúrgica. Seguimiento ambulatorio. Alteraciones psicológicas del paciente y sus familiares. Atención al paciente en estadío terminal. Medidas de rehabilitación. Dispensarización. Evolución y pronóstico. </w:t>
      </w:r>
    </w:p>
    <w:p>
      <w:pPr>
        <w:pStyle w:val="Normal"/>
        <w:spacing w:lineRule="auto" w:line="360" w:beforeAutospacing="1" w:afterAutospacing="1"/>
        <w:jc w:val="both"/>
        <w:rPr>
          <w:rFonts w:cs="Arial"/>
          <w:b/>
          <w:b/>
          <w:sz w:val="18"/>
          <w:szCs w:val="18"/>
          <w:lang w:val="en-US" w:eastAsia="en-US"/>
        </w:rPr>
      </w:pPr>
      <w:r>
        <w:rPr>
          <w:rFonts w:cs="Arial"/>
          <w:b/>
          <w:sz w:val="18"/>
          <w:szCs w:val="18"/>
          <w:lang w:val="en-US" w:eastAsia="en-US"/>
        </w:rPr>
      </w:r>
    </w:p>
    <w:p>
      <w:pPr>
        <w:pStyle w:val="Normal"/>
        <w:spacing w:lineRule="auto" w:line="360" w:beforeAutospacing="1" w:afterAutospacing="1"/>
        <w:jc w:val="both"/>
        <w:rPr>
          <w:rFonts w:cs="Arial"/>
          <w:b/>
          <w:b/>
          <w:sz w:val="18"/>
          <w:szCs w:val="18"/>
          <w:lang w:val="en-US" w:eastAsia="en-US"/>
        </w:rPr>
      </w:pPr>
      <w:r>
        <w:rPr>
          <w:rFonts w:cs="Arial"/>
          <w:b/>
          <w:sz w:val="18"/>
          <w:szCs w:val="18"/>
          <w:lang w:val="en-US" w:eastAsia="en-US"/>
        </w:rPr>
        <w:t xml:space="preserve">Tareas </w:t>
      </w:r>
    </w:p>
    <w:p>
      <w:pPr>
        <w:pStyle w:val="ListParagraph"/>
        <w:numPr>
          <w:ilvl w:val="0"/>
          <w:numId w:val="2"/>
        </w:numPr>
        <w:spacing w:lineRule="auto" w:line="360" w:beforeAutospacing="1" w:afterAutospacing="1"/>
        <w:jc w:val="both"/>
        <w:rPr>
          <w:rFonts w:cs="Arial"/>
          <w:sz w:val="18"/>
          <w:szCs w:val="18"/>
          <w:lang w:val="en-US" w:eastAsia="en-US"/>
        </w:rPr>
      </w:pPr>
      <w:r>
        <w:rPr>
          <w:rFonts w:cs="Arial"/>
          <w:sz w:val="18"/>
          <w:szCs w:val="18"/>
          <w:lang w:val="en-US" w:eastAsia="en-US"/>
        </w:rPr>
        <w:t>Revisa  detenidamente la Bibliografía  que aparece al final de esta guía</w:t>
      </w:r>
    </w:p>
    <w:p>
      <w:pPr>
        <w:pStyle w:val="ListParagraph"/>
        <w:numPr>
          <w:ilvl w:val="0"/>
          <w:numId w:val="2"/>
        </w:numPr>
        <w:spacing w:lineRule="auto" w:line="360" w:beforeAutospacing="1" w:afterAutospacing="1"/>
        <w:jc w:val="both"/>
        <w:rPr>
          <w:rFonts w:cs="Arial"/>
          <w:b/>
          <w:b/>
          <w:bCs/>
          <w:sz w:val="18"/>
          <w:szCs w:val="18"/>
          <w:lang w:val="en-US" w:eastAsia="en-US"/>
        </w:rPr>
      </w:pPr>
      <w:r>
        <w:rPr>
          <w:rFonts w:cs="Arial"/>
          <w:sz w:val="18"/>
          <w:szCs w:val="18"/>
          <w:lang w:val="en-US" w:eastAsia="en-US"/>
        </w:rPr>
        <w:t>Confecciona un resumen de cada  tema.</w:t>
      </w:r>
    </w:p>
    <w:p>
      <w:pPr>
        <w:pStyle w:val="ListParagraph"/>
        <w:numPr>
          <w:ilvl w:val="0"/>
          <w:numId w:val="2"/>
        </w:numPr>
        <w:spacing w:lineRule="auto" w:line="360" w:beforeAutospacing="1" w:afterAutospacing="1"/>
        <w:jc w:val="both"/>
        <w:rPr>
          <w:rFonts w:cs="Arial"/>
          <w:bCs/>
          <w:sz w:val="18"/>
          <w:szCs w:val="18"/>
          <w:lang w:val="en-US" w:eastAsia="en-US"/>
        </w:rPr>
      </w:pPr>
      <w:r>
        <w:rPr>
          <w:rFonts w:cs="Arial"/>
          <w:bCs/>
          <w:sz w:val="18"/>
          <w:szCs w:val="18"/>
          <w:lang w:val="en-US" w:eastAsia="en-US"/>
        </w:rPr>
        <w:t>Con las dudas que puedas presentar aclaras con tu profesor por vía digital.</w:t>
      </w:r>
    </w:p>
    <w:p>
      <w:pPr>
        <w:pStyle w:val="ListParagraph"/>
        <w:keepNext/>
        <w:numPr>
          <w:ilvl w:val="0"/>
          <w:numId w:val="2"/>
        </w:numPr>
        <w:jc w:val="both"/>
        <w:outlineLvl w:val="1"/>
        <w:rPr>
          <w:rFonts w:cs="Calibri" w:cstheme="minorHAnsi"/>
          <w:sz w:val="18"/>
          <w:szCs w:val="18"/>
        </w:rPr>
      </w:pPr>
      <w:r>
        <w:rPr>
          <w:rFonts w:cs="Arial"/>
          <w:bCs/>
          <w:sz w:val="18"/>
          <w:szCs w:val="18"/>
          <w:lang w:val="en-US" w:eastAsia="en-US"/>
        </w:rPr>
        <w:t>Responde la siguiente guía de preguntas:</w:t>
      </w:r>
    </w:p>
    <w:p>
      <w:pPr>
        <w:pStyle w:val="Normal"/>
        <w:keepNext/>
        <w:numPr>
          <w:ilvl w:val="0"/>
          <w:numId w:val="0"/>
        </w:numPr>
        <w:jc w:val="both"/>
        <w:outlineLvl w:val="1"/>
        <w:rPr>
          <w:rFonts w:cs="Calibri" w:cstheme="minorHAnsi"/>
          <w:sz w:val="18"/>
          <w:szCs w:val="18"/>
        </w:rPr>
      </w:pPr>
      <w:r>
        <w:rPr>
          <w:rFonts w:cs="Calibri" w:cstheme="minorHAnsi"/>
          <w:sz w:val="18"/>
          <w:szCs w:val="18"/>
        </w:rPr>
      </w:r>
    </w:p>
    <w:p>
      <w:pPr>
        <w:pStyle w:val="ListParagraph"/>
        <w:numPr>
          <w:ilvl w:val="0"/>
          <w:numId w:val="4"/>
        </w:numPr>
        <w:spacing w:beforeAutospacing="1" w:afterAutospacing="1"/>
        <w:jc w:val="both"/>
        <w:rPr>
          <w:rFonts w:cs="Arial"/>
          <w:sz w:val="18"/>
          <w:szCs w:val="18"/>
        </w:rPr>
      </w:pPr>
      <w:r>
        <w:rPr>
          <w:rFonts w:cs="Arial"/>
          <w:sz w:val="18"/>
          <w:szCs w:val="18"/>
        </w:rPr>
        <w:t>Mencione los factores de riesgo y condiciones prexistentes asociadas al carcinoma epidermoide de esófago.</w:t>
      </w:r>
    </w:p>
    <w:p>
      <w:pPr>
        <w:pStyle w:val="ListParagraph"/>
        <w:numPr>
          <w:ilvl w:val="0"/>
          <w:numId w:val="4"/>
        </w:numPr>
        <w:spacing w:beforeAutospacing="1" w:afterAutospacing="1"/>
        <w:jc w:val="both"/>
        <w:rPr>
          <w:rFonts w:cs="Arial"/>
          <w:sz w:val="18"/>
          <w:szCs w:val="18"/>
        </w:rPr>
      </w:pPr>
      <w:r>
        <w:rPr>
          <w:rFonts w:cs="Arial"/>
          <w:sz w:val="18"/>
          <w:szCs w:val="18"/>
        </w:rPr>
        <w:t>Diga los grupos de riesgo en el cáncer de estómago.</w:t>
      </w:r>
    </w:p>
    <w:p>
      <w:pPr>
        <w:pStyle w:val="ListParagraph"/>
        <w:numPr>
          <w:ilvl w:val="0"/>
          <w:numId w:val="4"/>
        </w:numPr>
        <w:spacing w:beforeAutospacing="1" w:afterAutospacing="1"/>
        <w:jc w:val="both"/>
        <w:rPr>
          <w:rFonts w:cs="Arial"/>
          <w:sz w:val="18"/>
          <w:szCs w:val="18"/>
        </w:rPr>
      </w:pPr>
      <w:r>
        <w:rPr>
          <w:rFonts w:cs="Arial"/>
          <w:sz w:val="18"/>
          <w:szCs w:val="18"/>
        </w:rPr>
        <w:t>El médico debe pensar en el cáncer de colon ante cuáles hechos?</w:t>
      </w:r>
    </w:p>
    <w:p>
      <w:pPr>
        <w:pStyle w:val="ListParagraph"/>
        <w:numPr>
          <w:ilvl w:val="0"/>
          <w:numId w:val="4"/>
        </w:numPr>
        <w:spacing w:beforeAutospacing="1" w:afterAutospacing="1"/>
        <w:jc w:val="both"/>
        <w:rPr>
          <w:rFonts w:cs="Arial"/>
          <w:sz w:val="18"/>
          <w:szCs w:val="18"/>
        </w:rPr>
      </w:pPr>
      <w:r>
        <w:rPr>
          <w:rFonts w:cs="Arial"/>
          <w:sz w:val="18"/>
          <w:szCs w:val="18"/>
        </w:rPr>
        <w:t>El cáncer de colon y recto según la medicina basada en la evidencia está relacionada con diferentes factores de riesgo. Menciónelos.</w:t>
      </w:r>
    </w:p>
    <w:p>
      <w:pPr>
        <w:pStyle w:val="ListParagraph"/>
        <w:numPr>
          <w:ilvl w:val="0"/>
          <w:numId w:val="4"/>
        </w:numPr>
        <w:spacing w:beforeAutospacing="1" w:afterAutospacing="1"/>
        <w:jc w:val="both"/>
        <w:rPr>
          <w:rFonts w:cs="Arial"/>
          <w:sz w:val="18"/>
          <w:szCs w:val="18"/>
        </w:rPr>
      </w:pPr>
      <w:r>
        <w:rPr>
          <w:rFonts w:cs="Arial"/>
          <w:sz w:val="18"/>
          <w:szCs w:val="18"/>
        </w:rPr>
        <w:t>Diga los grupos de riesgo del cáncer de páncreas.</w:t>
      </w:r>
    </w:p>
    <w:p>
      <w:pPr>
        <w:pStyle w:val="ListParagraph"/>
        <w:numPr>
          <w:ilvl w:val="0"/>
          <w:numId w:val="4"/>
        </w:numPr>
        <w:spacing w:beforeAutospacing="1" w:afterAutospacing="1"/>
        <w:jc w:val="both"/>
        <w:rPr>
          <w:rFonts w:cs="Arial"/>
          <w:sz w:val="18"/>
          <w:szCs w:val="18"/>
        </w:rPr>
      </w:pPr>
      <w:r>
        <w:rPr>
          <w:rFonts w:cs="Arial"/>
          <w:sz w:val="18"/>
          <w:szCs w:val="18"/>
        </w:rPr>
        <w:t>Diga las manifestaciones clínicas del cáncer de páncreas.</w:t>
      </w:r>
    </w:p>
    <w:p>
      <w:pPr>
        <w:pStyle w:val="ListParagraph"/>
        <w:numPr>
          <w:ilvl w:val="0"/>
          <w:numId w:val="4"/>
        </w:numPr>
        <w:spacing w:beforeAutospacing="1" w:afterAutospacing="1"/>
        <w:jc w:val="both"/>
        <w:rPr>
          <w:rFonts w:cs="Arial"/>
          <w:sz w:val="18"/>
          <w:szCs w:val="18"/>
        </w:rPr>
      </w:pPr>
      <w:r>
        <w:rPr>
          <w:rFonts w:cs="Arial"/>
          <w:sz w:val="18"/>
          <w:szCs w:val="18"/>
        </w:rPr>
        <w:t>Mencione los tumores abdominales más frecuentes en la edad pediátrica.</w:t>
      </w:r>
    </w:p>
    <w:p>
      <w:pPr>
        <w:pStyle w:val="ListParagraph"/>
        <w:numPr>
          <w:ilvl w:val="0"/>
          <w:numId w:val="4"/>
        </w:numPr>
        <w:spacing w:beforeAutospacing="1" w:afterAutospacing="1"/>
        <w:jc w:val="both"/>
        <w:rPr>
          <w:rFonts w:cs="Arial"/>
          <w:sz w:val="18"/>
          <w:szCs w:val="18"/>
        </w:rPr>
      </w:pPr>
      <w:r>
        <w:rPr>
          <w:rFonts w:cs="Arial"/>
          <w:sz w:val="18"/>
          <w:szCs w:val="18"/>
        </w:rPr>
        <w:t>Describa el cuadro clínico de los tumores abdominales más frecuente en edad pediátrica.</w:t>
      </w:r>
    </w:p>
    <w:p>
      <w:pPr>
        <w:pStyle w:val="Normal"/>
        <w:spacing w:beforeAutospacing="1" w:afterAutospacing="1"/>
        <w:jc w:val="both"/>
        <w:rPr>
          <w:rFonts w:cs="Arial"/>
          <w:sz w:val="16"/>
          <w:szCs w:val="18"/>
        </w:rPr>
      </w:pPr>
      <w:r>
        <w:rPr>
          <w:rFonts w:cs="Arial"/>
          <w:sz w:val="16"/>
          <w:szCs w:val="18"/>
        </w:rPr>
      </w:r>
    </w:p>
    <w:p>
      <w:pPr>
        <w:pStyle w:val="Normal"/>
        <w:spacing w:lineRule="auto" w:line="276" w:before="0" w:after="200"/>
        <w:rPr>
          <w:rFonts w:eastAsia="Calibri" w:cs="Arial"/>
          <w:b/>
          <w:b/>
          <w:sz w:val="20"/>
          <w:szCs w:val="22"/>
          <w:lang w:eastAsia="en-US"/>
        </w:rPr>
      </w:pPr>
      <w:bookmarkStart w:id="0" w:name="_GoBack"/>
      <w:bookmarkEnd w:id="0"/>
      <w:r>
        <w:rPr>
          <w:rFonts w:eastAsia="Calibri" w:cs="Arial"/>
          <w:b/>
          <w:sz w:val="20"/>
          <w:szCs w:val="22"/>
          <w:lang w:eastAsia="en-US"/>
        </w:rPr>
        <w:t xml:space="preserve">DISCUSIÓN DE CASO      </w:t>
      </w:r>
    </w:p>
    <w:p>
      <w:pPr>
        <w:pStyle w:val="Normal"/>
        <w:rPr>
          <w:rFonts w:eastAsia="Calibri" w:cs="Arial"/>
          <w:sz w:val="20"/>
          <w:szCs w:val="22"/>
          <w:lang w:eastAsia="en-US"/>
        </w:rPr>
      </w:pPr>
      <w:r>
        <w:rPr>
          <w:rFonts w:eastAsia="Calibri" w:cs="Arial"/>
          <w:sz w:val="20"/>
          <w:szCs w:val="22"/>
          <w:lang w:eastAsia="en-US"/>
        </w:rPr>
        <w:t>Paciente masculino, blanco de 63 años de edad con antecedentes de ser un bebedor habitual, fumador de más de 25 años y  sedentario llega a la consulta por presentar cansancio, molestias abdominales, dolor al defecar y cambios del hábito intestinal.</w:t>
      </w:r>
    </w:p>
    <w:p>
      <w:pPr>
        <w:pStyle w:val="Normal"/>
        <w:rPr>
          <w:rFonts w:eastAsia="Calibri" w:cs="Arial"/>
          <w:sz w:val="20"/>
          <w:szCs w:val="22"/>
          <w:lang w:eastAsia="en-US"/>
        </w:rPr>
      </w:pPr>
      <w:r>
        <w:rPr>
          <w:rFonts w:eastAsia="Calibri" w:cs="Arial"/>
          <w:sz w:val="20"/>
          <w:szCs w:val="22"/>
          <w:lang w:eastAsia="en-US"/>
        </w:rPr>
        <w:t>Examen Físico</w:t>
      </w:r>
    </w:p>
    <w:p>
      <w:pPr>
        <w:pStyle w:val="Normal"/>
        <w:rPr>
          <w:rFonts w:eastAsia="Calibri" w:cs="Arial"/>
          <w:sz w:val="20"/>
          <w:szCs w:val="22"/>
          <w:lang w:eastAsia="en-US"/>
        </w:rPr>
      </w:pPr>
      <w:r>
        <w:rPr>
          <w:rFonts w:eastAsia="Calibri" w:cs="Arial"/>
          <w:sz w:val="20"/>
          <w:szCs w:val="22"/>
          <w:lang w:eastAsia="en-US"/>
        </w:rPr>
        <w:t>Mucosas: Húmedas e hipocoloreadas.</w:t>
      </w:r>
    </w:p>
    <w:p>
      <w:pPr>
        <w:pStyle w:val="Normal"/>
        <w:rPr>
          <w:rFonts w:eastAsia="Calibri" w:cs="Arial"/>
          <w:sz w:val="20"/>
          <w:szCs w:val="22"/>
          <w:lang w:eastAsia="en-US"/>
        </w:rPr>
      </w:pPr>
      <w:r>
        <w:rPr>
          <w:rFonts w:eastAsia="Calibri" w:cs="Arial"/>
          <w:sz w:val="20"/>
          <w:szCs w:val="22"/>
          <w:lang w:eastAsia="en-US"/>
        </w:rPr>
        <w:t>Aparato respiratorio. Negativo</w:t>
      </w:r>
    </w:p>
    <w:p>
      <w:pPr>
        <w:pStyle w:val="Normal"/>
        <w:rPr>
          <w:rFonts w:eastAsia="Calibri" w:cs="Arial"/>
          <w:sz w:val="20"/>
          <w:szCs w:val="22"/>
          <w:lang w:eastAsia="en-US"/>
        </w:rPr>
      </w:pPr>
      <w:r>
        <w:rPr>
          <w:rFonts w:eastAsia="Calibri" w:cs="Arial"/>
          <w:sz w:val="20"/>
          <w:szCs w:val="22"/>
          <w:lang w:eastAsia="en-US"/>
        </w:rPr>
        <w:t>Aparato Cardiovascular: Ruidos cardiacos  ligeramente taquicardico. FC 105</w:t>
      </w:r>
    </w:p>
    <w:p>
      <w:pPr>
        <w:pStyle w:val="Normal"/>
        <w:rPr>
          <w:rFonts w:eastAsia="Calibri" w:cs="Arial"/>
          <w:sz w:val="20"/>
          <w:szCs w:val="22"/>
          <w:lang w:eastAsia="en-US"/>
        </w:rPr>
      </w:pPr>
      <w:r>
        <w:rPr>
          <w:rFonts w:eastAsia="Calibri" w:cs="Arial"/>
          <w:sz w:val="20"/>
          <w:szCs w:val="22"/>
          <w:lang w:eastAsia="en-US"/>
        </w:rPr>
        <w:t>TA: 130/80</w:t>
      </w:r>
    </w:p>
    <w:p>
      <w:pPr>
        <w:pStyle w:val="Normal"/>
        <w:rPr>
          <w:rFonts w:eastAsia="Calibri" w:cs="Arial"/>
          <w:sz w:val="20"/>
          <w:szCs w:val="22"/>
          <w:lang w:eastAsia="en-US"/>
        </w:rPr>
      </w:pPr>
      <w:r>
        <w:rPr>
          <w:rFonts w:eastAsia="Calibri" w:cs="Arial"/>
          <w:sz w:val="20"/>
          <w:szCs w:val="22"/>
          <w:lang w:eastAsia="en-US"/>
        </w:rPr>
        <w:t>Abdomen: suave, deprensible, ligeramente doloroso a la palpación profunda en el hemiabdomen derecho donde  palpa un aumento de volumen.</w:t>
      </w:r>
    </w:p>
    <w:p>
      <w:pPr>
        <w:pStyle w:val="Normal"/>
        <w:rPr>
          <w:rFonts w:eastAsia="Calibri" w:cs="Arial"/>
          <w:sz w:val="20"/>
          <w:szCs w:val="22"/>
          <w:lang w:eastAsia="en-US"/>
        </w:rPr>
      </w:pPr>
      <w:r>
        <w:rPr>
          <w:rFonts w:eastAsia="Calibri" w:cs="Arial"/>
          <w:sz w:val="20"/>
          <w:szCs w:val="22"/>
          <w:lang w:eastAsia="en-US"/>
        </w:rPr>
        <w:t xml:space="preserve">TCS no infiltrado </w:t>
      </w:r>
    </w:p>
    <w:p>
      <w:pPr>
        <w:pStyle w:val="Normal"/>
        <w:rPr>
          <w:rFonts w:eastAsia="Calibri" w:cs="Arial"/>
          <w:sz w:val="20"/>
          <w:szCs w:val="22"/>
          <w:lang w:eastAsia="en-US"/>
        </w:rPr>
      </w:pPr>
      <w:r>
        <w:rPr>
          <w:rFonts w:eastAsia="Calibri" w:cs="Arial"/>
          <w:sz w:val="20"/>
          <w:szCs w:val="22"/>
          <w:lang w:eastAsia="en-US"/>
        </w:rPr>
        <w:t>Atendiendo a lo encontrado responda:</w:t>
      </w:r>
    </w:p>
    <w:p>
      <w:pPr>
        <w:pStyle w:val="Normal"/>
        <w:rPr>
          <w:rFonts w:eastAsia="Calibri" w:cs="Arial"/>
          <w:sz w:val="20"/>
          <w:szCs w:val="22"/>
          <w:lang w:eastAsia="en-US"/>
        </w:rPr>
      </w:pPr>
      <w:r>
        <w:rPr>
          <w:rFonts w:eastAsia="Calibri" w:cs="Arial"/>
          <w:sz w:val="20"/>
          <w:szCs w:val="22"/>
          <w:lang w:eastAsia="en-US"/>
        </w:rPr>
        <w:t xml:space="preserve">Diagnóstico positivo </w:t>
      </w:r>
    </w:p>
    <w:p>
      <w:pPr>
        <w:pStyle w:val="Normal"/>
        <w:rPr>
          <w:rFonts w:eastAsia="Calibri" w:cs="Arial"/>
          <w:sz w:val="20"/>
          <w:szCs w:val="22"/>
          <w:lang w:eastAsia="en-US"/>
        </w:rPr>
      </w:pPr>
      <w:r>
        <w:rPr>
          <w:rFonts w:eastAsia="Calibri" w:cs="Arial"/>
          <w:sz w:val="20"/>
          <w:szCs w:val="22"/>
          <w:lang w:eastAsia="en-US"/>
        </w:rPr>
        <w:t xml:space="preserve">Diagnóstico diferencial </w:t>
      </w:r>
    </w:p>
    <w:p>
      <w:pPr>
        <w:pStyle w:val="Normal"/>
        <w:rPr>
          <w:rFonts w:eastAsia="Calibri" w:cs="Arial"/>
          <w:sz w:val="20"/>
          <w:szCs w:val="22"/>
          <w:lang w:eastAsia="en-US"/>
        </w:rPr>
      </w:pPr>
      <w:r>
        <w:rPr>
          <w:rFonts w:eastAsia="Calibri" w:cs="Arial"/>
          <w:sz w:val="20"/>
          <w:szCs w:val="22"/>
          <w:lang w:eastAsia="en-US"/>
        </w:rPr>
        <w:t>Factores de Riesgo que presenta este paciente</w:t>
      </w:r>
    </w:p>
    <w:p>
      <w:pPr>
        <w:pStyle w:val="Normal"/>
        <w:rPr>
          <w:rFonts w:eastAsia="Calibri" w:cs="Arial"/>
          <w:sz w:val="20"/>
          <w:szCs w:val="22"/>
          <w:lang w:eastAsia="en-US"/>
        </w:rPr>
      </w:pPr>
      <w:r>
        <w:rPr>
          <w:rFonts w:eastAsia="Calibri" w:cs="Arial"/>
          <w:sz w:val="20"/>
          <w:szCs w:val="22"/>
          <w:lang w:eastAsia="en-US"/>
        </w:rPr>
        <w:t xml:space="preserve">Exámenes complementarios </w:t>
      </w:r>
    </w:p>
    <w:p>
      <w:pPr>
        <w:pStyle w:val="Normal"/>
        <w:rPr>
          <w:rFonts w:eastAsia="Calibri" w:cs="Arial"/>
          <w:sz w:val="20"/>
          <w:szCs w:val="22"/>
          <w:lang w:eastAsia="en-US"/>
        </w:rPr>
      </w:pPr>
      <w:r>
        <w:rPr>
          <w:rFonts w:eastAsia="Calibri" w:cs="Arial"/>
          <w:sz w:val="20"/>
          <w:szCs w:val="22"/>
          <w:lang w:eastAsia="en-US"/>
        </w:rPr>
        <w:t>Tratamiento.</w:t>
      </w:r>
    </w:p>
    <w:p>
      <w:pPr>
        <w:pStyle w:val="Normal"/>
        <w:rPr>
          <w:rFonts w:eastAsia="Calibri" w:cs="Arial"/>
          <w:sz w:val="20"/>
          <w:szCs w:val="22"/>
          <w:lang w:eastAsia="en-US"/>
        </w:rPr>
      </w:pPr>
      <w:r>
        <w:rPr>
          <w:rFonts w:eastAsia="Calibri" w:cs="Arial"/>
          <w:sz w:val="20"/>
          <w:szCs w:val="22"/>
          <w:lang w:eastAsia="en-US"/>
        </w:rPr>
      </w:r>
    </w:p>
    <w:p>
      <w:pPr>
        <w:pStyle w:val="Normal"/>
        <w:spacing w:beforeAutospacing="1" w:afterAutospacing="1"/>
        <w:jc w:val="both"/>
        <w:rPr>
          <w:rFonts w:cs="Arial"/>
          <w:sz w:val="16"/>
          <w:szCs w:val="18"/>
        </w:rPr>
      </w:pPr>
      <w:r>
        <w:rPr>
          <w:rFonts w:cs="Arial"/>
          <w:sz w:val="16"/>
          <w:szCs w:val="18"/>
        </w:rPr>
      </w:r>
    </w:p>
    <w:p>
      <w:pPr>
        <w:pStyle w:val="Normal"/>
        <w:jc w:val="both"/>
        <w:rPr>
          <w:rFonts w:cs="Arial"/>
          <w:bCs/>
        </w:rPr>
      </w:pPr>
      <w:r>
        <w:rPr>
          <w:rFonts w:cs="Arial"/>
          <w:bCs/>
        </w:rPr>
      </w:r>
    </w:p>
    <w:p>
      <w:pPr>
        <w:pStyle w:val="Normal"/>
        <w:jc w:val="both"/>
        <w:rPr>
          <w:rFonts w:cs="Arial"/>
          <w:bCs/>
        </w:rPr>
      </w:pPr>
      <w:r>
        <w:rPr>
          <w:rFonts w:cs="Arial"/>
          <w:bCs/>
        </w:rPr>
      </w:r>
    </w:p>
    <w:p>
      <w:pPr>
        <w:pStyle w:val="Normal"/>
        <w:spacing w:beforeAutospacing="1" w:afterAutospacing="1"/>
        <w:jc w:val="both"/>
        <w:rPr>
          <w:rFonts w:cs="Arial"/>
          <w:b/>
          <w:b/>
          <w:sz w:val="18"/>
          <w:szCs w:val="18"/>
        </w:rPr>
      </w:pPr>
      <w:r>
        <w:rPr>
          <w:rFonts w:cs="Arial"/>
          <w:b/>
          <w:sz w:val="18"/>
          <w:szCs w:val="18"/>
        </w:rPr>
        <w:t>Bibliografía:</w:t>
      </w:r>
    </w:p>
    <w:p>
      <w:pPr>
        <w:pStyle w:val="Normal"/>
        <w:numPr>
          <w:ilvl w:val="0"/>
          <w:numId w:val="5"/>
        </w:numPr>
        <w:overflowPunct w:val="true"/>
        <w:spacing w:lineRule="auto" w:line="360"/>
        <w:jc w:val="both"/>
        <w:textAlignment w:val="baseline"/>
        <w:rPr>
          <w:rFonts w:cs="Arial"/>
          <w:sz w:val="18"/>
          <w:szCs w:val="18"/>
        </w:rPr>
      </w:pPr>
      <w:r>
        <w:rPr>
          <w:rFonts w:cs="Arial"/>
          <w:bCs/>
          <w:color w:val="000000"/>
          <w:sz w:val="18"/>
          <w:szCs w:val="18"/>
        </w:rPr>
        <w:t>Álvarez Sintes, R., y coautores. Medicina General</w:t>
      </w:r>
      <w:r>
        <w:rPr>
          <w:rFonts w:cs="Arial"/>
          <w:sz w:val="18"/>
          <w:szCs w:val="18"/>
        </w:rPr>
        <w:t xml:space="preserve"> Integral. 3ra edición. Volumen IV. Capítulo 101 y 102. Editorial de Ciencias Médicas. La Habana. 2014.</w:t>
      </w:r>
    </w:p>
    <w:p>
      <w:pPr>
        <w:pStyle w:val="Normal"/>
        <w:numPr>
          <w:ilvl w:val="0"/>
          <w:numId w:val="5"/>
        </w:numPr>
        <w:overflowPunct w:val="true"/>
        <w:spacing w:lineRule="auto" w:line="360"/>
        <w:jc w:val="both"/>
        <w:textAlignment w:val="baseline"/>
        <w:rPr>
          <w:rFonts w:cs="Arial"/>
          <w:sz w:val="18"/>
          <w:szCs w:val="18"/>
        </w:rPr>
      </w:pPr>
      <w:r>
        <w:rPr>
          <w:rFonts w:cs="Arial"/>
          <w:sz w:val="18"/>
          <w:szCs w:val="18"/>
        </w:rPr>
        <w:t>Temas de Pediatría. Capítulo 21. Enfermedades malignas. Editorial de Ciencias Médicas.</w:t>
      </w:r>
    </w:p>
    <w:p>
      <w:pPr>
        <w:pStyle w:val="Normal"/>
        <w:overflowPunct w:val="true"/>
        <w:spacing w:lineRule="auto" w:line="360"/>
        <w:ind w:left="720" w:hanging="0"/>
        <w:jc w:val="both"/>
        <w:textAlignment w:val="baseline"/>
        <w:rPr>
          <w:rFonts w:cs="Arial"/>
          <w:sz w:val="18"/>
          <w:szCs w:val="18"/>
        </w:rPr>
      </w:pPr>
      <w:r>
        <w:rPr>
          <w:rFonts w:cs="Arial"/>
          <w:sz w:val="18"/>
          <w:szCs w:val="18"/>
        </w:rPr>
      </w:r>
    </w:p>
    <w:p>
      <w:pPr>
        <w:pStyle w:val="Normal"/>
        <w:jc w:val="both"/>
        <w:rPr>
          <w:rFonts w:cs="Arial"/>
          <w:bCs/>
        </w:rPr>
      </w:pPr>
      <w:r>
        <w:rPr>
          <w:rFonts w:cs="Arial"/>
          <w:bCs/>
        </w:rPr>
      </w:r>
    </w:p>
    <w:p>
      <w:pPr>
        <w:pStyle w:val="Normal"/>
        <w:jc w:val="both"/>
        <w:rPr>
          <w:rFonts w:cs="Arial"/>
          <w:bCs/>
        </w:rPr>
      </w:pPr>
      <w:r>
        <w:rPr>
          <w:rFonts w:cs="Arial"/>
          <w:bCs/>
        </w:rPr>
      </w:r>
    </w:p>
    <w:p>
      <w:pPr>
        <w:pStyle w:val="Normal"/>
        <w:jc w:val="both"/>
        <w:rPr>
          <w:rFonts w:cs="Arial"/>
          <w:bCs/>
        </w:rPr>
      </w:pPr>
      <w:r>
        <w:rPr>
          <w:rFonts w:cs="Arial"/>
          <w:bCs/>
        </w:rPr>
      </w:r>
    </w:p>
    <w:p>
      <w:pPr>
        <w:pStyle w:val="Normal"/>
        <w:jc w:val="both"/>
        <w:rPr/>
      </w:pPr>
      <w:r>
        <w:rPr>
          <w:rFonts w:cs="Arial"/>
          <w:bCs/>
        </w:rPr>
        <w:t xml:space="preserve">     </w:t>
      </w:r>
    </w:p>
    <w:p>
      <w:pPr>
        <w:pStyle w:val="Normal"/>
        <w:jc w:val="both"/>
        <w:rPr/>
      </w:pPr>
      <w:r>
        <w:rPr/>
      </w:r>
    </w:p>
    <w:p>
      <w:pPr>
        <w:pStyle w:val="Normal"/>
        <w:jc w:val="both"/>
        <w:rPr/>
      </w:pPr>
      <w:r>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sectPr>
          <w:type w:val="nextPage"/>
          <w:pgSz w:w="11906" w:h="16838"/>
          <w:pgMar w:left="1701" w:right="991" w:header="0" w:top="1417" w:footer="0" w:bottom="1417" w:gutter="0"/>
          <w:pgNumType w:fmt="decimal"/>
          <w:formProt w:val="false"/>
          <w:textDirection w:val="lrTb"/>
          <w:docGrid w:type="default" w:linePitch="240" w:charSpace="4294961151"/>
        </w:sectPr>
      </w:pPr>
    </w:p>
    <w:p>
      <w:pPr>
        <w:pStyle w:val="ListParagraph"/>
        <w:ind w:left="426" w:hanging="36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Normal"/>
        <w:spacing w:lineRule="auto" w:line="276" w:before="0" w:after="200"/>
        <w:contextualSpacing/>
        <w:rPr>
          <w:rFonts w:ascii="Calibri" w:hAnsi="Calibri" w:cs="Calibri"/>
        </w:rPr>
      </w:pPr>
      <w:r>
        <w:rPr>
          <w:rFonts w:cs="Calibri" w:ascii="Calibri" w:hAnsi="Calibri"/>
        </w:rPr>
        <w:t xml:space="preserve">                                 </w:t>
      </w:r>
    </w:p>
    <w:p>
      <w:pPr>
        <w:pStyle w:val="ListParagraph"/>
        <w:spacing w:lineRule="auto" w:line="276" w:before="0" w:after="200"/>
        <w:ind w:left="426" w:hanging="0"/>
        <w:contextualSpacing/>
        <w:rPr>
          <w:rFonts w:ascii="Calibri" w:hAnsi="Calibri" w:cs="Calibri"/>
        </w:rPr>
      </w:pPr>
      <w:r>
        <w:rPr>
          <w:rFonts w:cs="Calibri" w:ascii="Calibri" w:hAnsi="Calibri"/>
        </w:rPr>
      </w:r>
    </w:p>
    <w:p>
      <w:pPr>
        <w:pStyle w:val="ListParagraph"/>
        <w:spacing w:lineRule="auto" w:line="276" w:before="0" w:after="200"/>
        <w:ind w:left="426" w:hanging="0"/>
        <w:contextualSpacing/>
        <w:rPr>
          <w:rFonts w:ascii="Calibri" w:hAnsi="Calibri" w:cs="Calibri"/>
        </w:rPr>
      </w:pPr>
      <w:r>
        <w:rPr>
          <w:rFonts w:cs="Calibri" w:ascii="Calibri" w:hAnsi="Calibri"/>
        </w:rPr>
      </w:r>
    </w:p>
    <w:p>
      <w:pPr>
        <w:pStyle w:val="ListParagraph"/>
        <w:spacing w:lineRule="auto" w:line="276" w:before="0" w:after="200"/>
        <w:ind w:left="426" w:hanging="0"/>
        <w:contextualSpacing/>
        <w:rPr>
          <w:rFonts w:ascii="Calibri" w:hAnsi="Calibri" w:cs="Calibri"/>
        </w:rPr>
      </w:pPr>
      <w:r>
        <w:rPr>
          <w:rFonts w:cs="Calibri" w:ascii="Calibri" w:hAnsi="Calibri"/>
        </w:rPr>
      </w:r>
    </w:p>
    <w:p>
      <w:pPr>
        <w:pStyle w:val="Normal"/>
        <w:spacing w:lineRule="auto" w:line="276" w:before="0" w:after="200"/>
        <w:contextualSpacing/>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t xml:space="preserve"> </w:t>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ListParagraph"/>
        <w:ind w:left="426" w:hanging="0"/>
        <w:rPr>
          <w:rFonts w:ascii="Calibri" w:hAnsi="Calibri" w:cs="Calibri"/>
        </w:rPr>
      </w:pPr>
      <w:r>
        <w:rPr>
          <w:rFonts w:cs="Calibri" w:ascii="Calibri" w:hAnsi="Calibri"/>
        </w:rPr>
      </w:r>
    </w:p>
    <w:p>
      <w:pPr>
        <w:pStyle w:val="Normal"/>
        <w:rPr/>
      </w:pPr>
      <w:r>
        <w:rPr/>
      </w:r>
    </w:p>
    <w:sectPr>
      <w:type w:val="continuous"/>
      <w:pgSz w:w="11906" w:h="16838"/>
      <w:pgMar w:left="1701" w:right="991" w:header="0" w:top="1417" w:footer="0" w:bottom="1417" w:gutter="0"/>
      <w:cols w:num="2" w:space="708" w:equalWidth="true" w:sep="false"/>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279b"/>
    <w:pPr>
      <w:widowControl/>
      <w:bidi w:val="0"/>
      <w:spacing w:lineRule="auto" w:line="240" w:before="0" w:after="0"/>
      <w:jc w:val="left"/>
    </w:pPr>
    <w:rPr>
      <w:rFonts w:ascii="Arial" w:hAnsi="Arial" w:eastAsia="Times New Roman" w:cs="Times New Roman"/>
      <w:color w:val="auto"/>
      <w:sz w:val="24"/>
      <w:szCs w:val="24"/>
      <w:lang w:eastAsia="es-ES" w:val="es-ES" w:bidi="ar-SA"/>
    </w:rPr>
  </w:style>
  <w:style w:type="paragraph" w:styleId="Heading1">
    <w:name w:val="Heading 1"/>
    <w:basedOn w:val="Normal"/>
    <w:next w:val="Normal"/>
    <w:link w:val="Ttulo1Car"/>
    <w:uiPriority w:val="9"/>
    <w:qFormat/>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Ttulo2Car"/>
    <w:uiPriority w:val="9"/>
    <w:unhideWhenUsed/>
    <w:qFormat/>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Ttulo3Car"/>
    <w:uiPriority w:val="9"/>
    <w:unhideWhenUsed/>
    <w:qFormat/>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Ttulo4Car"/>
    <w:uiPriority w:val="9"/>
    <w:unhideWhenUsed/>
    <w:qFormat/>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Ttulo5Car"/>
    <w:uiPriority w:val="9"/>
    <w:unhideWhenUsed/>
    <w:qFormat/>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link w:val="Ttulo6Car"/>
    <w:uiPriority w:val="9"/>
    <w:unhideWhenUsed/>
    <w:qFormat/>
    <w:pPr>
      <w:keepNext/>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Ttulo7Car"/>
    <w:uiPriority w:val="9"/>
    <w:unhideWhenUsed/>
    <w:qFormat/>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Ttulo8Car"/>
    <w:uiPriority w:val="9"/>
    <w:unhideWhenUsed/>
    <w:qFormat/>
    <w:pPr>
      <w:keepNext/>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Ttulo9Car"/>
    <w:uiPriority w:val="9"/>
    <w:unhideWhenUsed/>
    <w:qFormat/>
    <w:pPr>
      <w:keepNext/>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 w:customStyle="1">
    <w:name w:val="Título 2 Car"/>
    <w:basedOn w:val="DefaultParagraphFont"/>
    <w:link w:val="Ttulo2"/>
    <w:uiPriority w:val="9"/>
    <w:qFormat/>
    <w:rPr>
      <w:rFonts w:ascii="Cambria" w:hAnsi="Cambria" w:eastAsia="" w:cs="" w:asciiTheme="majorHAnsi" w:cstheme="majorBidi" w:eastAsiaTheme="majorEastAsia" w:hAnsiTheme="majorHAnsi"/>
      <w:b/>
      <w:bCs/>
      <w:color w:val="4F81BD" w:themeColor="accent1"/>
      <w:sz w:val="26"/>
      <w:szCs w:val="26"/>
    </w:rPr>
  </w:style>
  <w:style w:type="character" w:styleId="Ttulo3Car" w:customStyle="1">
    <w:name w:val="Título 3 Car"/>
    <w:basedOn w:val="DefaultParagraphFont"/>
    <w:link w:val="Ttulo3"/>
    <w:uiPriority w:val="9"/>
    <w:qFormat/>
    <w:rPr>
      <w:rFonts w:ascii="Cambria" w:hAnsi="Cambria" w:eastAsia="" w:cs="" w:asciiTheme="majorHAnsi" w:cstheme="majorBidi" w:eastAsiaTheme="majorEastAsia" w:hAnsiTheme="majorHAnsi"/>
      <w:b/>
      <w:bCs/>
      <w:color w:val="4F81BD" w:themeColor="accent1"/>
    </w:rPr>
  </w:style>
  <w:style w:type="character" w:styleId="Ttulo4Car" w:customStyle="1">
    <w:name w:val="Título 4 Car"/>
    <w:basedOn w:val="DefaultParagraphFont"/>
    <w:link w:val="Ttulo4"/>
    <w:uiPriority w:val="9"/>
    <w:qFormat/>
    <w:rPr>
      <w:rFonts w:ascii="Cambria" w:hAnsi="Cambria" w:eastAsia="" w:cs="" w:asciiTheme="majorHAnsi" w:cstheme="majorBidi" w:eastAsiaTheme="majorEastAsia" w:hAnsiTheme="majorHAnsi"/>
      <w:b/>
      <w:bCs/>
      <w:i/>
      <w:iCs/>
      <w:color w:val="4F81BD" w:themeColor="accent1"/>
    </w:rPr>
  </w:style>
  <w:style w:type="character" w:styleId="Ttulo5Car" w:customStyle="1">
    <w:name w:val="Título 5 Car"/>
    <w:basedOn w:val="DefaultParagraphFont"/>
    <w:link w:val="Ttulo5"/>
    <w:uiPriority w:val="9"/>
    <w:qFormat/>
    <w:rPr>
      <w:rFonts w:ascii="Cambria" w:hAnsi="Cambria" w:eastAsia="" w:cs="" w:asciiTheme="majorHAnsi" w:cstheme="majorBidi" w:eastAsiaTheme="majorEastAsia" w:hAnsiTheme="majorHAnsi"/>
      <w:color w:val="243F60" w:themeColor="accent1" w:themeShade="7f"/>
    </w:rPr>
  </w:style>
  <w:style w:type="character" w:styleId="Ttulo6Car" w:customStyle="1">
    <w:name w:val="Título 6 Car"/>
    <w:basedOn w:val="DefaultParagraphFont"/>
    <w:link w:val="Ttulo6"/>
    <w:uiPriority w:val="9"/>
    <w:qFormat/>
    <w:rPr>
      <w:rFonts w:ascii="Cambria" w:hAnsi="Cambria" w:eastAsia="" w:cs="" w:asciiTheme="majorHAnsi" w:cstheme="majorBidi" w:eastAsiaTheme="majorEastAsia" w:hAnsiTheme="majorHAnsi"/>
      <w:i/>
      <w:iCs/>
      <w:color w:val="243F60" w:themeColor="accent1" w:themeShade="7f"/>
    </w:rPr>
  </w:style>
  <w:style w:type="character" w:styleId="Ttulo7Car" w:customStyle="1">
    <w:name w:val="Título 7 Car"/>
    <w:basedOn w:val="DefaultParagraphFont"/>
    <w:link w:val="Ttulo7"/>
    <w:uiPriority w:val="9"/>
    <w:qFormat/>
    <w:rPr>
      <w:rFonts w:ascii="Cambria" w:hAnsi="Cambria" w:eastAsia="" w:cs="" w:asciiTheme="majorHAnsi" w:cstheme="majorBidi" w:eastAsiaTheme="majorEastAsia" w:hAnsiTheme="majorHAnsi"/>
      <w:i/>
      <w:iCs/>
      <w:color w:val="404040" w:themeColor="text1" w:themeTint="bf"/>
    </w:rPr>
  </w:style>
  <w:style w:type="character" w:styleId="Ttulo8Car" w:customStyle="1">
    <w:name w:val="Título 8 Car"/>
    <w:basedOn w:val="DefaultParagraphFont"/>
    <w:link w:val="Ttulo8"/>
    <w:uiPriority w:val="9"/>
    <w:qFormat/>
    <w:rPr>
      <w:rFonts w:ascii="Cambria" w:hAnsi="Cambria" w:eastAsia="" w:cs="" w:asciiTheme="majorHAnsi" w:cstheme="majorBidi" w:eastAsiaTheme="majorEastAsia" w:hAnsiTheme="majorHAnsi"/>
      <w:color w:val="404040" w:themeColor="text1" w:themeTint="bf"/>
      <w:sz w:val="20"/>
      <w:szCs w:val="20"/>
    </w:rPr>
  </w:style>
  <w:style w:type="character" w:styleId="Ttulo9Car" w:customStyle="1">
    <w:name w:val="Título 9 Car"/>
    <w:basedOn w:val="DefaultParagraphFont"/>
    <w:link w:val="Ttulo9"/>
    <w:uiPriority w:val="9"/>
    <w:qFormat/>
    <w:rPr>
      <w:rFonts w:ascii="Cambria" w:hAnsi="Cambria" w:eastAsia="" w:cs="" w:asciiTheme="majorHAnsi" w:cstheme="majorBidi" w:eastAsiaTheme="majorEastAsia" w:hAnsiTheme="majorHAnsi"/>
      <w:i/>
      <w:iCs/>
      <w:color w:val="404040" w:themeColor="text1" w:themeTint="bf"/>
      <w:sz w:val="20"/>
      <w:szCs w:val="20"/>
    </w:rPr>
  </w:style>
  <w:style w:type="character" w:styleId="TtuloCar" w:customStyle="1">
    <w:name w:val="Título Car"/>
    <w:basedOn w:val="DefaultParagraphFont"/>
    <w:link w:val="Ttulo"/>
    <w:uiPriority w:val="10"/>
    <w:qFormat/>
    <w:rPr>
      <w:rFonts w:ascii="Cambria" w:hAnsi="Cambria" w:eastAsia="" w:cs="" w:asciiTheme="majorHAnsi" w:cstheme="majorBidi" w:eastAsiaTheme="majorEastAsia" w:hAnsiTheme="majorHAnsi"/>
      <w:color w:val="17365D" w:themeColor="text2" w:themeShade="bf"/>
      <w:spacing w:val="5"/>
      <w:sz w:val="52"/>
      <w:szCs w:val="52"/>
    </w:rPr>
  </w:style>
  <w:style w:type="character" w:styleId="SubttuloCar" w:customStyle="1">
    <w:name w:val="Subtítulo Car"/>
    <w:basedOn w:val="DefaultParagraphFont"/>
    <w:link w:val="Subttulo"/>
    <w:uiPriority w:val="11"/>
    <w:qFormat/>
    <w:rPr>
      <w:rFonts w:ascii="Cambria" w:hAnsi="Cambria" w:eastAsia="" w:c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character" w:styleId="CitaCar" w:customStyle="1">
    <w:name w:val="Cita Car"/>
    <w:basedOn w:val="DefaultParagraphFont"/>
    <w:link w:val="Cita"/>
    <w:uiPriority w:val="29"/>
    <w:qFormat/>
    <w:rPr>
      <w:i/>
      <w:iCs/>
      <w:color w:val="000000" w:themeColor="text1"/>
    </w:rPr>
  </w:style>
  <w:style w:type="character" w:styleId="CitadestacadaCar" w:customStyle="1">
    <w:name w:val="Cita destacada Car"/>
    <w:basedOn w:val="DefaultParagraphFont"/>
    <w:link w:val="Citadestacada"/>
    <w:uiPriority w:val="30"/>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character" w:styleId="InternetLink">
    <w:name w:val="Internet 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qFormat/>
    <w:rPr>
      <w:color w:val="800080" w:themeColor="followedHyperlink"/>
      <w:u w:val="single"/>
    </w:rPr>
  </w:style>
  <w:style w:type="character" w:styleId="TextodegloboCar" w:customStyle="1">
    <w:name w:val="Texto de globo Car"/>
    <w:basedOn w:val="DefaultParagraphFont"/>
    <w:link w:val="Textodeglobo"/>
    <w:uiPriority w:val="99"/>
    <w:semiHidden/>
    <w:qFormat/>
    <w:rsid w:val="00b43866"/>
    <w:rPr>
      <w:rFonts w:ascii="Tahoma" w:hAnsi="Tahoma" w:eastAsia="Times New Roman" w:cs="Tahoma"/>
      <w:sz w:val="16"/>
      <w:szCs w:val="16"/>
      <w:lang w:eastAsia="es-ES"/>
    </w:rPr>
  </w:style>
  <w:style w:type="character" w:styleId="ListLabel1">
    <w:name w:val="ListLabel 1"/>
    <w:qFormat/>
    <w:rPr>
      <w:b/>
      <w:i w:val="false"/>
      <w:sz w:val="20"/>
      <w:szCs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val="4F81BD" w:themeColor="accent1"/>
      <w:spacing w:val="15"/>
    </w:rPr>
  </w:style>
  <w:style w:type="paragraph" w:styleId="Quote">
    <w:name w:val="Quote"/>
    <w:basedOn w:val="Normal"/>
    <w:next w:val="Normal"/>
    <w:link w:val="CitaCar"/>
    <w:uiPriority w:val="29"/>
    <w:qFormat/>
    <w:pPr/>
    <w:rPr>
      <w:i/>
      <w:iCs/>
      <w:color w:val="000000" w:themeColor="text1"/>
    </w:rPr>
  </w:style>
  <w:style w:type="paragraph" w:styleId="IntenseQuote">
    <w:name w:val="Intense Quote"/>
    <w:basedOn w:val="Normal"/>
    <w:next w:val="Normal"/>
    <w:link w:val="CitadestacadaCar"/>
    <w:uiPriority w:val="30"/>
    <w:qFormat/>
    <w:pPr>
      <w:pBdr>
        <w:bottom w:val="single" w:sz="4" w:space="4" w:color="4F81BD"/>
      </w:pBdr>
      <w:spacing w:before="200" w:after="280"/>
      <w:ind w:left="936" w:right="936" w:hanging="0"/>
    </w:pPr>
    <w:rPr>
      <w:b/>
      <w:bCs/>
      <w:i/>
      <w:iCs/>
      <w:color w:val="4F81BD" w:themeColor="accent1"/>
    </w:rPr>
  </w:style>
  <w:style w:type="paragraph" w:styleId="ListParagraph">
    <w:name w:val="List Paragraph"/>
    <w:basedOn w:val="Normal"/>
    <w:uiPriority w:val="34"/>
    <w:qFormat/>
    <w:pPr>
      <w:spacing w:before="0" w:after="0"/>
      <w:ind w:left="720" w:hanging="0"/>
      <w:contextualSpacing/>
    </w:pPr>
    <w:rPr/>
  </w:style>
  <w:style w:type="paragraph" w:styleId="Car" w:customStyle="1">
    <w:name w:val="Car"/>
    <w:basedOn w:val="Normal"/>
    <w:qFormat/>
    <w:rsid w:val="00e219aa"/>
    <w:pPr>
      <w:widowControl w:val="false"/>
      <w:spacing w:lineRule="exact" w:line="240" w:before="0" w:after="160"/>
      <w:jc w:val="both"/>
      <w:textAlignment w:val="baseline"/>
    </w:pPr>
    <w:rPr>
      <w:sz w:val="20"/>
      <w:szCs w:val="20"/>
      <w:lang w:val="en-US" w:eastAsia="en-US"/>
    </w:rPr>
  </w:style>
  <w:style w:type="paragraph" w:styleId="Textoindependiente31" w:customStyle="1">
    <w:name w:val="Texto independiente 31"/>
    <w:basedOn w:val="Normal"/>
    <w:qFormat/>
    <w:rsid w:val="0087142a"/>
    <w:pPr>
      <w:overflowPunct w:val="true"/>
      <w:jc w:val="both"/>
      <w:textAlignment w:val="baseline"/>
    </w:pPr>
    <w:rPr>
      <w:rFonts w:ascii="Times New Roman" w:hAnsi="Times New Roman"/>
      <w:szCs w:val="20"/>
    </w:rPr>
  </w:style>
  <w:style w:type="paragraph" w:styleId="BalloonText">
    <w:name w:val="Balloon Text"/>
    <w:basedOn w:val="Normal"/>
    <w:link w:val="TextodegloboCar"/>
    <w:uiPriority w:val="99"/>
    <w:semiHidden/>
    <w:unhideWhenUsed/>
    <w:qFormat/>
    <w:rsid w:val="00b43866"/>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cc675d"/>
    <w:pPr>
      <w:spacing w:after="0" w:line="240" w:lineRule="auto"/>
    </w:pPr>
    <w:rPr>
      <w:lang w:eastAsia="es-E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s.wikipedia.org/wiki/&#211;rgano_(biolog&#237;a)" TargetMode="External"/><Relationship Id="rId4" Type="http://schemas.openxmlformats.org/officeDocument/2006/relationships/hyperlink" Target="https://es.wikipedia.org/wiki/Digesti&#243;n" TargetMode="External"/><Relationship Id="rId5" Type="http://schemas.openxmlformats.org/officeDocument/2006/relationships/hyperlink" Target="https://es.wikipedia.org/wiki/Alimento" TargetMode="External"/><Relationship Id="rId6" Type="http://schemas.openxmlformats.org/officeDocument/2006/relationships/hyperlink" Target="https://es.wikipedia.org/wiki/C&#233;lula" TargetMode="External"/><Relationship Id="rId7" Type="http://schemas.openxmlformats.org/officeDocument/2006/relationships/hyperlink" Target="https://es.wikipedia.org/wiki/Defecaci&#243;n" TargetMode="External"/><Relationship Id="rId8" Type="http://schemas.openxmlformats.org/officeDocument/2006/relationships/hyperlink" Target="https://es.wikipedia.org/wiki/Gl&#250;cido" TargetMode="External"/><Relationship Id="rId9" Type="http://schemas.openxmlformats.org/officeDocument/2006/relationships/hyperlink" Target="https://es.wikipedia.org/wiki/L&#237;pido" TargetMode="External"/><Relationship Id="rId10" Type="http://schemas.openxmlformats.org/officeDocument/2006/relationships/hyperlink" Target="https://es.wikipedia.org/wiki/Prote&#237;na" TargetMode="External"/><Relationship Id="rId11" Type="http://schemas.openxmlformats.org/officeDocument/2006/relationships/hyperlink" Target="https://es.wikipedia.org/wiki/Sangre" TargetMode="External"/><Relationship Id="rId12" Type="http://schemas.openxmlformats.org/officeDocument/2006/relationships/hyperlink" Target="https://es.wikipedia.org/wiki/Vertebrados" TargetMode="External"/><Relationship Id="rId13" Type="http://schemas.openxmlformats.org/officeDocument/2006/relationships/hyperlink" Target="https://es.wikipedia.org/wiki/Nutrici&#243;n" TargetMode="External"/><Relationship Id="rId14" Type="http://schemas.openxmlformats.org/officeDocument/2006/relationships/hyperlink" Target="https://es.wikipedia.org/wiki/Sistema_inmune" TargetMode="External"/><Relationship Id="rId15" Type="http://schemas.openxmlformats.org/officeDocument/2006/relationships/hyperlink" Target="https://es.wikipedia.org/wiki/Microbiota_normal" TargetMode="External"/><Relationship Id="rId16" Type="http://schemas.openxmlformats.org/officeDocument/2006/relationships/hyperlink" Target="https://es.wikipedia.org/wiki/Enfermedades" TargetMode="External"/><Relationship Id="rId17" Type="http://schemas.openxmlformats.org/officeDocument/2006/relationships/hyperlink" Target="https://es.wikipedia.org/wiki/Aparato_digestivo" TargetMode="External"/><Relationship Id="rId18" Type="http://schemas.openxmlformats.org/officeDocument/2006/relationships/hyperlink" Target="https://es.wikipedia.org/wiki/Estadounidense" TargetMode="External"/><Relationship Id="rId19" Type="http://schemas.openxmlformats.org/officeDocument/2006/relationships/hyperlink" Target="https://es.wikipedia.org/wiki/Enfermedades_cardiovasculares"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4FB7-B95A-4385-843C-90E926A3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12</TotalTime>
  <Application>LibreOffice/5.1.6.2$Linux_X86_64 LibreOffice_project/10m0$Build-2</Application>
  <Pages>5</Pages>
  <Words>1732</Words>
  <CharactersWithSpaces>9530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2020-04-28T17:56:00Z</dcterms:created>
  <dc:creator>Lupe</dc:creator>
  <dc:description/>
  <dc:language>es-US</dc:language>
  <cp:lastModifiedBy>admin</cp:lastModifiedBy>
  <dcterms:modified xsi:type="dcterms:W3CDTF">2020-05-12T19:46:00Z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