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C6" w:rsidRPr="005B6AE2" w:rsidRDefault="004405C6" w:rsidP="005B6AE2">
      <w:pPr>
        <w:autoSpaceDE w:val="0"/>
        <w:autoSpaceDN w:val="0"/>
        <w:adjustRightInd w:val="0"/>
        <w:spacing w:after="0" w:line="240" w:lineRule="auto"/>
        <w:jc w:val="right"/>
        <w:rPr>
          <w:rFonts w:ascii="Arial" w:eastAsia="Calibri" w:hAnsi="Arial" w:cs="Arial"/>
          <w:b/>
          <w:bCs/>
          <w:color w:val="000000"/>
          <w:sz w:val="24"/>
          <w:szCs w:val="24"/>
          <w:lang w:eastAsia="en-US"/>
        </w:rPr>
      </w:pPr>
      <w:bookmarkStart w:id="0" w:name="_GoBack"/>
      <w:bookmarkEnd w:id="0"/>
      <w:r w:rsidRPr="005B6AE2">
        <w:rPr>
          <w:rFonts w:ascii="Arial" w:eastAsia="Calibri" w:hAnsi="Arial" w:cs="Arial"/>
          <w:b/>
          <w:bCs/>
          <w:color w:val="000000"/>
          <w:sz w:val="24"/>
          <w:szCs w:val="24"/>
          <w:lang w:eastAsia="en-US"/>
        </w:rPr>
        <w:t>ARTÍCULO ORIGINAL</w:t>
      </w:r>
    </w:p>
    <w:p w:rsidR="004405C6" w:rsidRPr="004405C6" w:rsidRDefault="005B6AE2" w:rsidP="005B6AE2">
      <w:pPr>
        <w:pStyle w:val="NormalWeb"/>
        <w:jc w:val="both"/>
        <w:rPr>
          <w:rFonts w:ascii="Arial" w:hAnsi="Arial" w:cs="Arial"/>
          <w:b/>
        </w:rPr>
      </w:pPr>
      <w:r>
        <w:rPr>
          <w:rFonts w:ascii="Arial" w:hAnsi="Arial" w:cs="Arial"/>
          <w:b/>
        </w:rPr>
        <w:t>C</w:t>
      </w:r>
      <w:r w:rsidRPr="004405C6">
        <w:rPr>
          <w:rFonts w:ascii="Arial" w:hAnsi="Arial" w:cs="Arial"/>
          <w:b/>
        </w:rPr>
        <w:t>aracterísticas clínicas epidemiológicas de las mujeres en etapa menopáusica.</w:t>
      </w:r>
    </w:p>
    <w:p w:rsidR="004405C6" w:rsidRDefault="004405C6" w:rsidP="005B6AE2">
      <w:pPr>
        <w:spacing w:line="240" w:lineRule="auto"/>
        <w:rPr>
          <w:rFonts w:ascii="Arial" w:eastAsia="Calibri" w:hAnsi="Arial" w:cs="Arial"/>
          <w:b/>
          <w:bCs/>
          <w:color w:val="000000"/>
          <w:sz w:val="24"/>
          <w:szCs w:val="24"/>
          <w:lang w:eastAsia="en-US"/>
        </w:rPr>
      </w:pPr>
      <w:proofErr w:type="spellStart"/>
      <w:r w:rsidRPr="004405C6">
        <w:rPr>
          <w:rFonts w:ascii="Arial" w:eastAsia="Times New Roman" w:hAnsi="Arial" w:cs="Arial"/>
          <w:bCs/>
          <w:i/>
          <w:sz w:val="24"/>
          <w:szCs w:val="24"/>
        </w:rPr>
        <w:t>Daynelis</w:t>
      </w:r>
      <w:proofErr w:type="spellEnd"/>
      <w:r w:rsidRPr="004405C6">
        <w:rPr>
          <w:rFonts w:ascii="Arial" w:eastAsia="Times New Roman" w:hAnsi="Arial" w:cs="Arial"/>
          <w:bCs/>
          <w:i/>
          <w:sz w:val="24"/>
          <w:szCs w:val="24"/>
        </w:rPr>
        <w:t xml:space="preserve"> Zamora </w:t>
      </w:r>
      <w:proofErr w:type="spellStart"/>
      <w:r w:rsidRPr="004405C6">
        <w:rPr>
          <w:rFonts w:ascii="Arial" w:eastAsia="Times New Roman" w:hAnsi="Arial" w:cs="Arial"/>
          <w:bCs/>
          <w:i/>
          <w:sz w:val="24"/>
          <w:szCs w:val="24"/>
        </w:rPr>
        <w:t>Oliva</w:t>
      </w:r>
      <w:r w:rsidRPr="004405C6">
        <w:rPr>
          <w:rFonts w:ascii="Arial" w:eastAsia="Times New Roman" w:hAnsi="Arial" w:cs="Arial"/>
          <w:bCs/>
          <w:i/>
          <w:sz w:val="24"/>
          <w:szCs w:val="24"/>
          <w:vertAlign w:val="superscript"/>
        </w:rPr>
        <w:t>I</w:t>
      </w:r>
      <w:proofErr w:type="spellEnd"/>
      <w:r w:rsidRPr="004405C6">
        <w:rPr>
          <w:rFonts w:ascii="Arial" w:eastAsia="Times New Roman" w:hAnsi="Arial" w:cs="Arial"/>
          <w:bCs/>
          <w:i/>
          <w:sz w:val="24"/>
          <w:szCs w:val="24"/>
        </w:rPr>
        <w:t>,</w:t>
      </w:r>
      <w:r w:rsidRPr="004405C6">
        <w:rPr>
          <w:rFonts w:ascii="Arial" w:eastAsia="Calibri" w:hAnsi="Arial" w:cs="Arial"/>
          <w:bCs/>
          <w:i/>
          <w:color w:val="000000"/>
          <w:sz w:val="24"/>
          <w:szCs w:val="24"/>
          <w:lang w:eastAsia="en-US"/>
        </w:rPr>
        <w:t xml:space="preserve"> Flavia Aleida García </w:t>
      </w:r>
      <w:proofErr w:type="spellStart"/>
      <w:r w:rsidRPr="004405C6">
        <w:rPr>
          <w:rFonts w:ascii="Arial" w:eastAsia="Calibri" w:hAnsi="Arial" w:cs="Arial"/>
          <w:bCs/>
          <w:i/>
          <w:color w:val="000000"/>
          <w:sz w:val="24"/>
          <w:szCs w:val="24"/>
          <w:lang w:eastAsia="en-US"/>
        </w:rPr>
        <w:t>Báez</w:t>
      </w:r>
      <w:r w:rsidRPr="004405C6">
        <w:rPr>
          <w:rFonts w:ascii="Arial" w:eastAsia="Calibri" w:hAnsi="Arial" w:cs="Arial"/>
          <w:bCs/>
          <w:i/>
          <w:color w:val="000000"/>
          <w:sz w:val="24"/>
          <w:szCs w:val="24"/>
          <w:vertAlign w:val="superscript"/>
          <w:lang w:eastAsia="en-US"/>
        </w:rPr>
        <w:t>II</w:t>
      </w:r>
      <w:proofErr w:type="gramStart"/>
      <w:r w:rsidRPr="004405C6">
        <w:rPr>
          <w:rFonts w:ascii="Arial" w:eastAsia="Calibri" w:hAnsi="Arial" w:cs="Arial"/>
          <w:bCs/>
          <w:i/>
          <w:color w:val="000000"/>
          <w:sz w:val="24"/>
          <w:szCs w:val="24"/>
          <w:lang w:eastAsia="en-US"/>
        </w:rPr>
        <w:t>,</w:t>
      </w:r>
      <w:r w:rsidRPr="004405C6">
        <w:rPr>
          <w:rFonts w:ascii="Arial" w:hAnsi="Arial" w:cs="Arial"/>
          <w:i/>
          <w:sz w:val="24"/>
        </w:rPr>
        <w:t>Mariela</w:t>
      </w:r>
      <w:proofErr w:type="spellEnd"/>
      <w:proofErr w:type="gramEnd"/>
      <w:r w:rsidRPr="004405C6">
        <w:rPr>
          <w:rFonts w:ascii="Arial" w:hAnsi="Arial" w:cs="Arial"/>
          <w:i/>
          <w:sz w:val="24"/>
        </w:rPr>
        <w:t xml:space="preserve"> Jach </w:t>
      </w:r>
      <w:proofErr w:type="spellStart"/>
      <w:r w:rsidRPr="004405C6">
        <w:rPr>
          <w:rFonts w:ascii="Arial" w:hAnsi="Arial" w:cs="Arial"/>
          <w:i/>
          <w:sz w:val="24"/>
        </w:rPr>
        <w:t>Ravelo</w:t>
      </w:r>
      <w:r w:rsidRPr="004405C6">
        <w:rPr>
          <w:rFonts w:ascii="Arial" w:hAnsi="Arial" w:cs="Arial"/>
          <w:i/>
          <w:sz w:val="24"/>
          <w:vertAlign w:val="superscript"/>
        </w:rPr>
        <w:t>III</w:t>
      </w:r>
      <w:proofErr w:type="spellEnd"/>
    </w:p>
    <w:p w:rsidR="004405C6" w:rsidRDefault="004405C6" w:rsidP="005B6AE2">
      <w:pPr>
        <w:spacing w:line="240" w:lineRule="auto"/>
        <w:rPr>
          <w:rFonts w:ascii="Arial" w:eastAsia="Times New Roman" w:hAnsi="Arial" w:cs="Arial"/>
          <w:sz w:val="24"/>
          <w:szCs w:val="24"/>
        </w:rPr>
      </w:pPr>
      <w:r>
        <w:rPr>
          <w:rFonts w:ascii="Arial" w:eastAsia="Times New Roman" w:hAnsi="Arial" w:cs="Arial"/>
          <w:sz w:val="24"/>
          <w:szCs w:val="24"/>
        </w:rPr>
        <w:t>I.</w:t>
      </w:r>
      <w:r w:rsidRPr="00866D26">
        <w:rPr>
          <w:rFonts w:ascii="Arial" w:eastAsia="Times New Roman" w:hAnsi="Arial" w:cs="Arial"/>
          <w:sz w:val="24"/>
          <w:szCs w:val="24"/>
        </w:rPr>
        <w:t xml:space="preserve">Especialista de I grado en Estomatología General Integral. </w:t>
      </w:r>
      <w:r>
        <w:rPr>
          <w:rFonts w:ascii="Arial" w:eastAsia="Times New Roman" w:hAnsi="Arial" w:cs="Arial"/>
          <w:sz w:val="24"/>
          <w:szCs w:val="24"/>
        </w:rPr>
        <w:t xml:space="preserve">Aspirante a Investigador. </w:t>
      </w:r>
      <w:r w:rsidRPr="00866D26">
        <w:rPr>
          <w:rFonts w:ascii="Arial" w:eastAsia="Times New Roman" w:hAnsi="Arial" w:cs="Arial"/>
          <w:sz w:val="24"/>
          <w:szCs w:val="24"/>
        </w:rPr>
        <w:t>Clínica Estomatológica Docente “Andrés Ortiz Junco”. Güines, Mayabeque. Cuba.</w:t>
      </w:r>
      <w:hyperlink r:id="rId5" w:history="1">
        <w:r w:rsidR="009D5ED9" w:rsidRPr="00FB3801">
          <w:rPr>
            <w:rStyle w:val="Hipervnculo"/>
            <w:rFonts w:ascii="Arial" w:eastAsia="Times New Roman" w:hAnsi="Arial" w:cs="Arial"/>
            <w:sz w:val="24"/>
            <w:szCs w:val="24"/>
          </w:rPr>
          <w:t>daynelis19@gmail.com</w:t>
        </w:r>
      </w:hyperlink>
    </w:p>
    <w:p w:rsidR="004405C6" w:rsidRDefault="004405C6" w:rsidP="005B6AE2">
      <w:pPr>
        <w:spacing w:line="240" w:lineRule="auto"/>
        <w:rPr>
          <w:rFonts w:ascii="Arial" w:hAnsi="Arial" w:cs="Arial"/>
          <w:color w:val="0000FF"/>
          <w:sz w:val="24"/>
          <w:szCs w:val="24"/>
        </w:rPr>
      </w:pPr>
      <w:r>
        <w:t xml:space="preserve">II. </w:t>
      </w:r>
      <w:r>
        <w:rPr>
          <w:rFonts w:ascii="Arial" w:hAnsi="Arial" w:cs="Arial"/>
          <w:color w:val="000000"/>
          <w:sz w:val="24"/>
          <w:szCs w:val="24"/>
        </w:rPr>
        <w:t xml:space="preserve">Especialista de I Grado en Estomatología General Integral. Asistente. Máster en Urgencias Estomatológicas. Investigador Agregado. Clínica Estomatológica Docente “Andrés Ortiz Junco”. Güines. Mayabeque. Cuba. </w:t>
      </w:r>
      <w:hyperlink r:id="rId6" w:history="1">
        <w:r w:rsidRPr="00FB3801">
          <w:rPr>
            <w:rStyle w:val="Hipervnculo"/>
            <w:rFonts w:ascii="Arial" w:hAnsi="Arial" w:cs="Arial"/>
            <w:sz w:val="24"/>
            <w:szCs w:val="24"/>
          </w:rPr>
          <w:t>flaviagarcia@infomed.sld.cu</w:t>
        </w:r>
      </w:hyperlink>
    </w:p>
    <w:p w:rsidR="00E61F39" w:rsidRDefault="004405C6" w:rsidP="005B6AE2">
      <w:pPr>
        <w:spacing w:line="240" w:lineRule="auto"/>
        <w:rPr>
          <w:rFonts w:ascii="Arial" w:hAnsi="Arial" w:cs="Arial"/>
          <w:color w:val="FF0000"/>
          <w:sz w:val="24"/>
          <w:szCs w:val="24"/>
        </w:rPr>
      </w:pPr>
      <w:r w:rsidRPr="004405C6">
        <w:rPr>
          <w:rFonts w:ascii="Arial" w:hAnsi="Arial" w:cs="Arial"/>
          <w:sz w:val="24"/>
          <w:szCs w:val="24"/>
        </w:rPr>
        <w:t xml:space="preserve">III. </w:t>
      </w:r>
      <w:r>
        <w:rPr>
          <w:rFonts w:ascii="Arial" w:hAnsi="Arial" w:cs="Arial"/>
          <w:color w:val="000000"/>
          <w:sz w:val="24"/>
          <w:szCs w:val="24"/>
        </w:rPr>
        <w:t xml:space="preserve">Especialista de I Grado en Estomatología General Integral y Periodoncia. </w:t>
      </w:r>
      <w:r w:rsidR="00E61F39">
        <w:rPr>
          <w:rFonts w:ascii="Arial" w:hAnsi="Arial" w:cs="Arial"/>
          <w:color w:val="000000"/>
          <w:sz w:val="24"/>
          <w:szCs w:val="24"/>
        </w:rPr>
        <w:t>Asistente</w:t>
      </w:r>
      <w:r w:rsidR="00E61F39" w:rsidRPr="00E61F39">
        <w:rPr>
          <w:rFonts w:ascii="Arial" w:hAnsi="Arial" w:cs="Arial"/>
          <w:color w:val="FF0000"/>
          <w:sz w:val="24"/>
          <w:szCs w:val="24"/>
        </w:rPr>
        <w:t>.</w:t>
      </w:r>
      <w:r w:rsidR="005B6AE2" w:rsidRPr="005B6AE2">
        <w:rPr>
          <w:rFonts w:ascii="Arial" w:hAnsi="Arial" w:cs="Arial"/>
          <w:color w:val="000000"/>
          <w:sz w:val="24"/>
          <w:szCs w:val="24"/>
        </w:rPr>
        <w:t xml:space="preserve"> </w:t>
      </w:r>
      <w:r w:rsidR="005B6AE2">
        <w:rPr>
          <w:rFonts w:ascii="Arial" w:hAnsi="Arial" w:cs="Arial"/>
          <w:color w:val="000000"/>
          <w:sz w:val="24"/>
          <w:szCs w:val="24"/>
        </w:rPr>
        <w:t xml:space="preserve">Máster en Urgencias Estomatológicas. </w:t>
      </w:r>
      <w:r w:rsidR="00E61F39">
        <w:rPr>
          <w:rFonts w:ascii="Arial" w:hAnsi="Arial" w:cs="Arial"/>
          <w:color w:val="000000"/>
          <w:sz w:val="24"/>
          <w:szCs w:val="24"/>
        </w:rPr>
        <w:t xml:space="preserve">Clínica Estomatológica Docente “Andrés Ortiz Junco”. Güines. Mayabeque. Cuba. </w:t>
      </w:r>
    </w:p>
    <w:p w:rsidR="00E61F39" w:rsidRPr="00866D26" w:rsidRDefault="00E61F39" w:rsidP="005B6AE2">
      <w:pPr>
        <w:spacing w:before="100" w:beforeAutospacing="1" w:after="100" w:afterAutospacing="1" w:line="240" w:lineRule="auto"/>
        <w:jc w:val="both"/>
        <w:rPr>
          <w:rFonts w:ascii="Arial" w:eastAsia="Times New Roman" w:hAnsi="Arial" w:cs="Arial"/>
          <w:sz w:val="24"/>
          <w:szCs w:val="24"/>
        </w:rPr>
      </w:pPr>
      <w:r w:rsidRPr="00866D26">
        <w:rPr>
          <w:rFonts w:ascii="Arial" w:eastAsia="Times New Roman" w:hAnsi="Arial" w:cs="Arial"/>
          <w:b/>
          <w:bCs/>
          <w:sz w:val="24"/>
          <w:szCs w:val="24"/>
        </w:rPr>
        <w:t>RESUMEN</w:t>
      </w:r>
    </w:p>
    <w:p w:rsidR="00E61F39" w:rsidRPr="00866D26" w:rsidRDefault="00E61F39" w:rsidP="005B6AE2">
      <w:pPr>
        <w:spacing w:line="240" w:lineRule="auto"/>
        <w:jc w:val="both"/>
        <w:rPr>
          <w:rFonts w:ascii="Arial" w:hAnsi="Arial" w:cs="Arial"/>
          <w:sz w:val="24"/>
          <w:szCs w:val="24"/>
        </w:rPr>
      </w:pPr>
      <w:r w:rsidRPr="00866D26">
        <w:rPr>
          <w:rFonts w:ascii="Arial" w:eastAsia="Times New Roman" w:hAnsi="Arial" w:cs="Arial"/>
          <w:b/>
          <w:bCs/>
          <w:sz w:val="24"/>
          <w:szCs w:val="24"/>
        </w:rPr>
        <w:t xml:space="preserve">Introducción: </w:t>
      </w:r>
      <w:r>
        <w:rPr>
          <w:rFonts w:ascii="Arial" w:eastAsia="Times New Roman" w:hAnsi="Arial" w:cs="Arial"/>
          <w:sz w:val="24"/>
          <w:szCs w:val="24"/>
        </w:rPr>
        <w:t>L</w:t>
      </w:r>
      <w:r w:rsidRPr="00BC6C53">
        <w:rPr>
          <w:rFonts w:ascii="Arial" w:eastAsia="Times New Roman" w:hAnsi="Arial" w:cs="Arial"/>
          <w:sz w:val="24"/>
          <w:szCs w:val="24"/>
        </w:rPr>
        <w:t>a menopausia es un estado fisi</w:t>
      </w:r>
      <w:r>
        <w:rPr>
          <w:rFonts w:ascii="Arial" w:eastAsia="Times New Roman" w:hAnsi="Arial" w:cs="Arial"/>
          <w:sz w:val="24"/>
          <w:szCs w:val="24"/>
        </w:rPr>
        <w:t>ológico de la mujer</w:t>
      </w:r>
      <w:r w:rsidRPr="00BC6C53">
        <w:rPr>
          <w:rFonts w:ascii="Arial" w:eastAsia="Times New Roman" w:hAnsi="Arial" w:cs="Arial"/>
          <w:sz w:val="24"/>
          <w:szCs w:val="24"/>
        </w:rPr>
        <w:t xml:space="preserve">, caracterizado por el cese de la secreción hormonal ovárica, </w:t>
      </w:r>
      <w:r w:rsidRPr="00BC6C53">
        <w:rPr>
          <w:rFonts w:ascii="Arial" w:hAnsi="Arial" w:cs="Arial"/>
          <w:sz w:val="24"/>
          <w:szCs w:val="24"/>
        </w:rPr>
        <w:t xml:space="preserve">que produce </w:t>
      </w:r>
      <w:r w:rsidRPr="00BC6C53">
        <w:rPr>
          <w:rFonts w:ascii="Arial" w:eastAsia="Times New Roman" w:hAnsi="Arial" w:cs="Arial"/>
          <w:sz w:val="24"/>
          <w:szCs w:val="24"/>
        </w:rPr>
        <w:t xml:space="preserve">cambios </w:t>
      </w:r>
      <w:r w:rsidRPr="00BC6C53">
        <w:rPr>
          <w:rFonts w:ascii="Arial" w:hAnsi="Arial" w:cs="Arial"/>
          <w:sz w:val="24"/>
          <w:szCs w:val="24"/>
        </w:rPr>
        <w:t xml:space="preserve">en </w:t>
      </w:r>
      <w:r w:rsidRPr="00BC6C53">
        <w:rPr>
          <w:rFonts w:ascii="Arial" w:eastAsia="Times New Roman" w:hAnsi="Arial" w:cs="Arial"/>
          <w:sz w:val="24"/>
          <w:szCs w:val="24"/>
        </w:rPr>
        <w:t xml:space="preserve">el aparato urogenital, sistema cardiovascular y sistema </w:t>
      </w:r>
      <w:proofErr w:type="spellStart"/>
      <w:r w:rsidRPr="00BC6C53">
        <w:rPr>
          <w:rFonts w:ascii="Arial" w:eastAsia="Times New Roman" w:hAnsi="Arial" w:cs="Arial"/>
          <w:sz w:val="24"/>
          <w:szCs w:val="24"/>
        </w:rPr>
        <w:t>estomatognático</w:t>
      </w:r>
      <w:proofErr w:type="spellEnd"/>
      <w:r w:rsidRPr="00BC6C53">
        <w:rPr>
          <w:rFonts w:ascii="Arial" w:eastAsia="Times New Roman" w:hAnsi="Arial" w:cs="Arial"/>
          <w:sz w:val="24"/>
          <w:szCs w:val="24"/>
        </w:rPr>
        <w:t xml:space="preserve">. </w:t>
      </w:r>
    </w:p>
    <w:p w:rsidR="00E61F39" w:rsidRPr="00E61F39" w:rsidRDefault="00E61F39" w:rsidP="005B6AE2">
      <w:pPr>
        <w:spacing w:after="160" w:line="240" w:lineRule="auto"/>
        <w:jc w:val="both"/>
        <w:rPr>
          <w:rFonts w:ascii="Arial" w:hAnsi="Arial" w:cs="Arial"/>
          <w:sz w:val="24"/>
          <w:szCs w:val="24"/>
        </w:rPr>
      </w:pPr>
      <w:r w:rsidRPr="00E61F39">
        <w:rPr>
          <w:rFonts w:ascii="Arial" w:eastAsia="Times New Roman" w:hAnsi="Arial" w:cs="Arial"/>
          <w:b/>
          <w:bCs/>
          <w:sz w:val="24"/>
          <w:szCs w:val="24"/>
        </w:rPr>
        <w:t>Objetivo</w:t>
      </w:r>
      <w:r w:rsidRPr="00E61F39">
        <w:rPr>
          <w:rFonts w:ascii="Arial" w:eastAsia="Times New Roman" w:hAnsi="Arial" w:cs="Arial"/>
          <w:sz w:val="24"/>
          <w:szCs w:val="24"/>
        </w:rPr>
        <w:t xml:space="preserve">: </w:t>
      </w:r>
      <w:r>
        <w:rPr>
          <w:rFonts w:ascii="Arial" w:hAnsi="Arial" w:cs="Arial"/>
          <w:sz w:val="24"/>
          <w:szCs w:val="24"/>
        </w:rPr>
        <w:t>D</w:t>
      </w:r>
      <w:r w:rsidRPr="00E61F39">
        <w:rPr>
          <w:rFonts w:ascii="Arial" w:hAnsi="Arial" w:cs="Arial"/>
          <w:sz w:val="24"/>
          <w:szCs w:val="24"/>
        </w:rPr>
        <w:t>escribir las características clínicas epidemiológicas de las mujeres en etapa menopáusica.</w:t>
      </w:r>
    </w:p>
    <w:p w:rsidR="0005662E" w:rsidRPr="005136AC" w:rsidRDefault="00E61F39" w:rsidP="005B6AE2">
      <w:pPr>
        <w:pStyle w:val="Textoindependiente"/>
        <w:rPr>
          <w:rFonts w:ascii="Arial" w:hAnsi="Arial" w:cs="Arial"/>
          <w:b w:val="0"/>
          <w:sz w:val="24"/>
          <w:lang w:eastAsia="en-US"/>
        </w:rPr>
      </w:pPr>
      <w:r w:rsidRPr="00866D26">
        <w:rPr>
          <w:rFonts w:ascii="Arial" w:hAnsi="Arial" w:cs="Arial"/>
          <w:sz w:val="24"/>
        </w:rPr>
        <w:t xml:space="preserve">Métodos: </w:t>
      </w:r>
      <w:r w:rsidR="0005662E">
        <w:rPr>
          <w:rFonts w:ascii="Arial" w:hAnsi="Arial" w:cs="Arial"/>
          <w:b w:val="0"/>
          <w:sz w:val="24"/>
        </w:rPr>
        <w:t>Se realizó</w:t>
      </w:r>
      <w:r w:rsidR="0005662E" w:rsidRPr="005136AC">
        <w:rPr>
          <w:rFonts w:ascii="Arial" w:hAnsi="Arial" w:cs="Arial"/>
          <w:b w:val="0"/>
          <w:sz w:val="24"/>
        </w:rPr>
        <w:t xml:space="preserve"> un estudio observacional descriptivo de corte transversal en el período comprendido entre el mes de octubre del 2018 a </w:t>
      </w:r>
      <w:r w:rsidR="0005662E">
        <w:rPr>
          <w:rFonts w:ascii="Arial" w:hAnsi="Arial" w:cs="Arial"/>
          <w:b w:val="0"/>
          <w:sz w:val="24"/>
        </w:rPr>
        <w:t xml:space="preserve">octubre del 2020, en </w:t>
      </w:r>
      <w:r w:rsidR="0005662E" w:rsidRPr="00731F15">
        <w:rPr>
          <w:rFonts w:ascii="Arial" w:hAnsi="Arial" w:cs="Arial"/>
          <w:b w:val="0"/>
          <w:sz w:val="24"/>
        </w:rPr>
        <w:t xml:space="preserve">la </w:t>
      </w:r>
      <w:r w:rsidR="0005662E">
        <w:rPr>
          <w:rFonts w:ascii="Arial" w:hAnsi="Arial" w:cs="Arial"/>
          <w:b w:val="0"/>
          <w:sz w:val="24"/>
        </w:rPr>
        <w:t>C</w:t>
      </w:r>
      <w:r w:rsidR="0005662E" w:rsidRPr="00731F15">
        <w:rPr>
          <w:rFonts w:ascii="Arial" w:hAnsi="Arial" w:cs="Arial"/>
          <w:b w:val="0"/>
          <w:sz w:val="24"/>
        </w:rPr>
        <w:t>lí</w:t>
      </w:r>
      <w:r w:rsidR="0005662E">
        <w:rPr>
          <w:rFonts w:ascii="Arial" w:hAnsi="Arial" w:cs="Arial"/>
          <w:b w:val="0"/>
          <w:sz w:val="24"/>
        </w:rPr>
        <w:t xml:space="preserve">nica Estomatológica Docente </w:t>
      </w:r>
      <w:r w:rsidR="0005662E" w:rsidRPr="0005662E">
        <w:rPr>
          <w:rFonts w:ascii="Arial" w:hAnsi="Arial" w:cs="Arial"/>
          <w:b w:val="0"/>
          <w:sz w:val="24"/>
        </w:rPr>
        <w:t>"Andrés Ortiz Junco"</w:t>
      </w:r>
      <w:r w:rsidR="0005662E">
        <w:rPr>
          <w:rFonts w:ascii="Arial" w:hAnsi="Arial" w:cs="Arial"/>
          <w:b w:val="0"/>
          <w:sz w:val="24"/>
        </w:rPr>
        <w:t xml:space="preserve">, en el municipio de </w:t>
      </w:r>
      <w:r w:rsidR="0005662E" w:rsidRPr="00731F15">
        <w:rPr>
          <w:rFonts w:ascii="Arial" w:hAnsi="Arial" w:cs="Arial"/>
          <w:b w:val="0"/>
          <w:sz w:val="24"/>
        </w:rPr>
        <w:t>Güines</w:t>
      </w:r>
      <w:r w:rsidR="0005662E">
        <w:rPr>
          <w:rFonts w:ascii="Arial" w:hAnsi="Arial" w:cs="Arial"/>
          <w:b w:val="0"/>
          <w:sz w:val="24"/>
        </w:rPr>
        <w:t xml:space="preserve">, provincia Mayabeque. </w:t>
      </w:r>
      <w:r w:rsidR="0005662E" w:rsidRPr="00731F15">
        <w:rPr>
          <w:rFonts w:ascii="Arial" w:hAnsi="Arial" w:cs="Arial"/>
          <w:b w:val="0"/>
          <w:sz w:val="24"/>
        </w:rPr>
        <w:t>La población objeto de estudio estuvo integrada por 110 mujeres del consultorio 20 en etapa menopáusica con manifestaciones clínicas bucales</w:t>
      </w:r>
      <w:r w:rsidR="0005662E">
        <w:rPr>
          <w:rFonts w:ascii="Arial" w:hAnsi="Arial" w:cs="Arial"/>
          <w:b w:val="0"/>
          <w:sz w:val="24"/>
        </w:rPr>
        <w:t xml:space="preserve">, a las cuales </w:t>
      </w:r>
      <w:r w:rsidR="0005662E" w:rsidRPr="00DF027C">
        <w:rPr>
          <w:rFonts w:ascii="Arial" w:hAnsi="Arial" w:cs="Arial"/>
          <w:b w:val="0"/>
          <w:sz w:val="24"/>
        </w:rPr>
        <w:t>se les realizó el interrogatorio y el examen clínico bucal</w:t>
      </w:r>
      <w:r w:rsidR="0005662E">
        <w:rPr>
          <w:rFonts w:ascii="Arial" w:hAnsi="Arial" w:cs="Arial"/>
          <w:b w:val="0"/>
          <w:sz w:val="24"/>
        </w:rPr>
        <w:t>, se tuvo en cuenta las variables: tipos de menopausia,</w:t>
      </w:r>
      <w:r w:rsidR="0005662E">
        <w:rPr>
          <w:rFonts w:ascii="Arial" w:hAnsi="Arial" w:cs="Arial"/>
          <w:b w:val="0"/>
          <w:sz w:val="24"/>
          <w:lang w:eastAsia="en-US"/>
        </w:rPr>
        <w:t>enfermedades y/o manifesta</w:t>
      </w:r>
      <w:r w:rsidR="0098258E">
        <w:rPr>
          <w:rFonts w:ascii="Arial" w:hAnsi="Arial" w:cs="Arial"/>
          <w:b w:val="0"/>
          <w:sz w:val="24"/>
          <w:lang w:eastAsia="en-US"/>
        </w:rPr>
        <w:t xml:space="preserve">ciones </w:t>
      </w:r>
      <w:r w:rsidR="0005662E" w:rsidRPr="005136AC">
        <w:rPr>
          <w:rFonts w:ascii="Arial" w:hAnsi="Arial" w:cs="Arial"/>
          <w:b w:val="0"/>
          <w:sz w:val="24"/>
          <w:lang w:eastAsia="en-US"/>
        </w:rPr>
        <w:t>clínica</w:t>
      </w:r>
      <w:r w:rsidR="0098258E">
        <w:rPr>
          <w:rFonts w:ascii="Arial" w:hAnsi="Arial" w:cs="Arial"/>
          <w:b w:val="0"/>
          <w:sz w:val="24"/>
          <w:lang w:eastAsia="en-US"/>
        </w:rPr>
        <w:t>s</w:t>
      </w:r>
      <w:r w:rsidR="0005662E" w:rsidRPr="005136AC">
        <w:rPr>
          <w:rFonts w:ascii="Arial" w:hAnsi="Arial" w:cs="Arial"/>
          <w:b w:val="0"/>
          <w:sz w:val="24"/>
          <w:lang w:eastAsia="en-US"/>
        </w:rPr>
        <w:t xml:space="preserve"> bucales</w:t>
      </w:r>
      <w:r w:rsidR="0098258E">
        <w:rPr>
          <w:rFonts w:ascii="Arial" w:hAnsi="Arial" w:cs="Arial"/>
          <w:b w:val="0"/>
          <w:sz w:val="24"/>
          <w:lang w:eastAsia="en-US"/>
        </w:rPr>
        <w:t>, localización del ardor bucal, manifestaciones clínicas de la enfermedad periodontal y enfermedades sistémicas. Los datos se procesaron en formato digital, en tablas, se utilizaron números naturales y porcentajes. Se empleó la prueba de x</w:t>
      </w:r>
      <w:r w:rsidR="0098258E" w:rsidRPr="0098258E">
        <w:rPr>
          <w:rFonts w:ascii="Arial" w:hAnsi="Arial" w:cs="Arial"/>
          <w:b w:val="0"/>
          <w:sz w:val="24"/>
          <w:vertAlign w:val="superscript"/>
          <w:lang w:eastAsia="en-US"/>
        </w:rPr>
        <w:t>2</w:t>
      </w:r>
      <w:r w:rsidR="0098258E">
        <w:rPr>
          <w:rFonts w:ascii="Arial" w:hAnsi="Arial" w:cs="Arial"/>
          <w:b w:val="0"/>
          <w:sz w:val="24"/>
          <w:lang w:eastAsia="en-US"/>
        </w:rPr>
        <w:t xml:space="preserve"> y de Duncan.</w:t>
      </w:r>
    </w:p>
    <w:p w:rsidR="00BA1D62" w:rsidRDefault="00E61F39" w:rsidP="005B6AE2">
      <w:pPr>
        <w:spacing w:before="100" w:beforeAutospacing="1" w:after="100" w:afterAutospacing="1" w:line="240" w:lineRule="auto"/>
        <w:jc w:val="both"/>
        <w:outlineLvl w:val="3"/>
        <w:rPr>
          <w:rFonts w:ascii="Arial" w:hAnsi="Arial" w:cs="Arial"/>
          <w:b/>
          <w:sz w:val="24"/>
          <w:szCs w:val="24"/>
        </w:rPr>
      </w:pPr>
      <w:r w:rsidRPr="00866D26">
        <w:rPr>
          <w:rFonts w:ascii="Arial" w:eastAsia="Times New Roman" w:hAnsi="Arial" w:cs="Arial"/>
          <w:b/>
          <w:bCs/>
          <w:sz w:val="24"/>
          <w:szCs w:val="24"/>
        </w:rPr>
        <w:t>Resultados:</w:t>
      </w:r>
      <w:r w:rsidR="0098258E" w:rsidRPr="00EC75BC">
        <w:rPr>
          <w:rFonts w:ascii="Arial" w:hAnsi="Arial" w:cs="Arial"/>
          <w:sz w:val="24"/>
          <w:szCs w:val="24"/>
        </w:rPr>
        <w:t>Predominó la menopausia natural (52,73%) según edad de aparición</w:t>
      </w:r>
      <w:r w:rsidR="0098258E">
        <w:rPr>
          <w:rFonts w:ascii="Arial" w:hAnsi="Arial" w:cs="Arial"/>
          <w:sz w:val="24"/>
          <w:szCs w:val="24"/>
        </w:rPr>
        <w:t>. La enfermedad periodontal (72,73%) y el ardor bucal (66,36</w:t>
      </w:r>
      <w:r w:rsidR="0098258E" w:rsidRPr="00020F38">
        <w:rPr>
          <w:rFonts w:ascii="Arial" w:hAnsi="Arial" w:cs="Arial"/>
          <w:sz w:val="24"/>
          <w:szCs w:val="24"/>
        </w:rPr>
        <w:t>%) fueron las enfermedades y/o manifestaciones clínicas bucales más frecuentes.La movilidad dentaria resultó la manifestación clínica más común de la enfermedad periodontal</w:t>
      </w:r>
      <w:r w:rsidR="0098258E">
        <w:rPr>
          <w:rFonts w:ascii="Arial" w:hAnsi="Arial" w:cs="Arial"/>
          <w:sz w:val="24"/>
          <w:szCs w:val="24"/>
        </w:rPr>
        <w:t xml:space="preserve"> con un </w:t>
      </w:r>
      <w:r w:rsidR="0098258E">
        <w:rPr>
          <w:rFonts w:ascii="Arial" w:hAnsi="Arial" w:cs="Arial"/>
          <w:color w:val="000000"/>
          <w:sz w:val="24"/>
          <w:szCs w:val="24"/>
        </w:rPr>
        <w:t>93,75</w:t>
      </w:r>
      <w:r w:rsidR="0098258E" w:rsidRPr="00020F38">
        <w:rPr>
          <w:rFonts w:ascii="Arial" w:hAnsi="Arial" w:cs="Arial"/>
          <w:color w:val="000000"/>
          <w:sz w:val="24"/>
          <w:szCs w:val="24"/>
        </w:rPr>
        <w:t>%</w:t>
      </w:r>
      <w:r w:rsidR="0098258E" w:rsidRPr="00020F38">
        <w:rPr>
          <w:rFonts w:ascii="Arial" w:hAnsi="Arial" w:cs="Arial"/>
          <w:sz w:val="24"/>
          <w:szCs w:val="24"/>
        </w:rPr>
        <w:t>.</w:t>
      </w:r>
    </w:p>
    <w:p w:rsidR="0098258E" w:rsidRPr="00BA1D62" w:rsidRDefault="00E61F39" w:rsidP="005B6AE2">
      <w:pPr>
        <w:spacing w:before="100" w:beforeAutospacing="1" w:after="100" w:afterAutospacing="1" w:line="240" w:lineRule="auto"/>
        <w:jc w:val="both"/>
        <w:outlineLvl w:val="3"/>
        <w:rPr>
          <w:rFonts w:ascii="Arial" w:hAnsi="Arial" w:cs="Arial"/>
          <w:b/>
          <w:sz w:val="24"/>
          <w:szCs w:val="24"/>
        </w:rPr>
      </w:pPr>
      <w:r w:rsidRPr="00866D26">
        <w:rPr>
          <w:rFonts w:ascii="Arial" w:eastAsia="Times New Roman" w:hAnsi="Arial" w:cs="Arial"/>
          <w:b/>
          <w:bCs/>
          <w:sz w:val="24"/>
          <w:szCs w:val="24"/>
        </w:rPr>
        <w:lastRenderedPageBreak/>
        <w:t xml:space="preserve">Conclusiones: </w:t>
      </w:r>
      <w:r w:rsidR="00BA1D62" w:rsidRPr="00BC6C53">
        <w:rPr>
          <w:rFonts w:ascii="Arial" w:hAnsi="Arial" w:cs="Arial"/>
          <w:sz w:val="24"/>
          <w:szCs w:val="24"/>
        </w:rPr>
        <w:t xml:space="preserve">En las mujeres examinadas predominó la </w:t>
      </w:r>
      <w:r w:rsidR="00BA1D62">
        <w:rPr>
          <w:rFonts w:ascii="Arial" w:hAnsi="Arial" w:cs="Arial"/>
          <w:sz w:val="24"/>
          <w:szCs w:val="24"/>
        </w:rPr>
        <w:t>menopausia natural, l</w:t>
      </w:r>
      <w:r w:rsidR="00BA1D62" w:rsidRPr="00020F38">
        <w:rPr>
          <w:rFonts w:ascii="Arial" w:hAnsi="Arial" w:cs="Arial"/>
          <w:sz w:val="24"/>
          <w:szCs w:val="24"/>
        </w:rPr>
        <w:t>a enfermedad periodontal y el ardor bucal</w:t>
      </w:r>
      <w:r w:rsidR="00BA1D62">
        <w:rPr>
          <w:rFonts w:ascii="Arial" w:hAnsi="Arial" w:cs="Arial"/>
          <w:sz w:val="24"/>
          <w:szCs w:val="24"/>
        </w:rPr>
        <w:t xml:space="preserve"> como </w:t>
      </w:r>
      <w:r w:rsidR="00BA1D62" w:rsidRPr="00020F38">
        <w:rPr>
          <w:rFonts w:ascii="Arial" w:hAnsi="Arial" w:cs="Arial"/>
          <w:sz w:val="24"/>
          <w:szCs w:val="24"/>
        </w:rPr>
        <w:t xml:space="preserve">enfermedades y/o manifestaciones </w:t>
      </w:r>
      <w:r w:rsidR="00BA1D62">
        <w:rPr>
          <w:rFonts w:ascii="Arial" w:hAnsi="Arial" w:cs="Arial"/>
          <w:sz w:val="24"/>
          <w:szCs w:val="24"/>
        </w:rPr>
        <w:t xml:space="preserve">clínicas bucales y la movilidad dentaria como la </w:t>
      </w:r>
      <w:r w:rsidR="00BA1D62" w:rsidRPr="00020F38">
        <w:rPr>
          <w:rFonts w:ascii="Arial" w:hAnsi="Arial" w:cs="Arial"/>
          <w:sz w:val="24"/>
          <w:szCs w:val="24"/>
        </w:rPr>
        <w:t>más común de la enfermedad periodont</w:t>
      </w:r>
      <w:r w:rsidR="00BA1D62">
        <w:rPr>
          <w:rFonts w:ascii="Arial" w:hAnsi="Arial" w:cs="Arial"/>
          <w:sz w:val="24"/>
          <w:szCs w:val="24"/>
        </w:rPr>
        <w:t xml:space="preserve">al. </w:t>
      </w:r>
    </w:p>
    <w:p w:rsidR="00E61F39" w:rsidRPr="00E61F39" w:rsidRDefault="00E61F39" w:rsidP="005B6AE2">
      <w:pPr>
        <w:tabs>
          <w:tab w:val="left" w:pos="4943"/>
        </w:tabs>
        <w:spacing w:after="0" w:line="240" w:lineRule="auto"/>
        <w:contextualSpacing/>
        <w:jc w:val="both"/>
        <w:outlineLvl w:val="3"/>
        <w:rPr>
          <w:rFonts w:ascii="Arial" w:hAnsi="Arial" w:cs="Arial"/>
          <w:color w:val="FF0000"/>
          <w:sz w:val="24"/>
          <w:szCs w:val="24"/>
        </w:rPr>
      </w:pPr>
      <w:r w:rsidRPr="0098258E">
        <w:rPr>
          <w:rFonts w:ascii="Arial" w:eastAsia="Times New Roman" w:hAnsi="Arial" w:cs="Arial"/>
          <w:b/>
          <w:bCs/>
          <w:sz w:val="24"/>
          <w:szCs w:val="24"/>
        </w:rPr>
        <w:t>Palabras clave</w:t>
      </w:r>
      <w:r w:rsidRPr="0098258E">
        <w:rPr>
          <w:rFonts w:ascii="Arial" w:eastAsia="Times New Roman" w:hAnsi="Arial" w:cs="Arial"/>
          <w:sz w:val="24"/>
          <w:szCs w:val="24"/>
        </w:rPr>
        <w:t xml:space="preserve">: </w:t>
      </w:r>
      <w:r w:rsidR="0098258E" w:rsidRPr="0098258E">
        <w:rPr>
          <w:rFonts w:ascii="Arial" w:hAnsi="Arial" w:cs="Arial"/>
          <w:sz w:val="24"/>
          <w:szCs w:val="24"/>
        </w:rPr>
        <w:t xml:space="preserve">menopausia, manifestaciones bucales, climaterio. </w:t>
      </w:r>
    </w:p>
    <w:p w:rsidR="004405C6" w:rsidRDefault="004405C6" w:rsidP="005B6AE2">
      <w:pPr>
        <w:spacing w:line="240" w:lineRule="auto"/>
      </w:pPr>
    </w:p>
    <w:p w:rsidR="00385CF4" w:rsidRPr="006C3226" w:rsidRDefault="00E44D65" w:rsidP="005B6AE2">
      <w:pPr>
        <w:spacing w:line="240" w:lineRule="auto"/>
        <w:jc w:val="both"/>
        <w:rPr>
          <w:rFonts w:ascii="Arial" w:hAnsi="Arial" w:cs="Arial"/>
          <w:b/>
          <w:sz w:val="24"/>
          <w:szCs w:val="24"/>
        </w:rPr>
      </w:pPr>
      <w:r>
        <w:rPr>
          <w:rFonts w:ascii="Arial" w:hAnsi="Arial" w:cs="Arial"/>
          <w:b/>
          <w:sz w:val="24"/>
          <w:szCs w:val="24"/>
        </w:rPr>
        <w:t>INTRODUCCIÓ</w:t>
      </w:r>
      <w:r w:rsidR="00385CF4" w:rsidRPr="003437CE">
        <w:rPr>
          <w:rFonts w:ascii="Arial" w:hAnsi="Arial" w:cs="Arial"/>
          <w:b/>
          <w:sz w:val="24"/>
          <w:szCs w:val="24"/>
        </w:rPr>
        <w:t xml:space="preserve">N </w:t>
      </w:r>
    </w:p>
    <w:p w:rsidR="00257ADF" w:rsidRPr="00810BC2" w:rsidRDefault="00257ADF" w:rsidP="005B6AE2">
      <w:pPr>
        <w:spacing w:line="240" w:lineRule="auto"/>
        <w:jc w:val="both"/>
        <w:rPr>
          <w:rFonts w:ascii="Arial" w:hAnsi="Arial" w:cs="Arial"/>
          <w:sz w:val="24"/>
          <w:szCs w:val="24"/>
          <w:vertAlign w:val="superscript"/>
        </w:rPr>
      </w:pPr>
      <w:r w:rsidRPr="00257ADF">
        <w:rPr>
          <w:rFonts w:ascii="Arial" w:eastAsia="Times New Roman" w:hAnsi="Arial" w:cs="Arial"/>
          <w:sz w:val="24"/>
          <w:szCs w:val="24"/>
        </w:rPr>
        <w:t>El hecho de que la mujer pierde su menstruación en un momento determinado de la vida es algo perfectamente conocido desde la más remota antigüedad</w:t>
      </w:r>
      <w:r w:rsidRPr="00257ADF">
        <w:rPr>
          <w:rFonts w:ascii="Arial" w:hAnsi="Arial" w:cs="Arial"/>
          <w:sz w:val="24"/>
          <w:szCs w:val="24"/>
        </w:rPr>
        <w:t>. L</w:t>
      </w:r>
      <w:r w:rsidRPr="00257ADF">
        <w:rPr>
          <w:rFonts w:ascii="Arial" w:eastAsia="Times New Roman" w:hAnsi="Arial" w:cs="Arial"/>
          <w:sz w:val="24"/>
          <w:szCs w:val="24"/>
        </w:rPr>
        <w:t>a edad de la menopausia que muchos autores modernos creían que se iba haciendo más tardía, se ha mantenido invariable desde tiempos remotos.</w:t>
      </w:r>
      <w:r w:rsidR="00810BC2">
        <w:rPr>
          <w:rFonts w:ascii="Arial" w:eastAsia="Times New Roman" w:hAnsi="Arial" w:cs="Arial"/>
          <w:sz w:val="24"/>
          <w:szCs w:val="24"/>
          <w:vertAlign w:val="superscript"/>
        </w:rPr>
        <w:t>1</w:t>
      </w:r>
    </w:p>
    <w:p w:rsidR="00257ADF" w:rsidRPr="00810BC2" w:rsidRDefault="00257ADF" w:rsidP="005B6AE2">
      <w:pPr>
        <w:spacing w:line="240" w:lineRule="auto"/>
        <w:jc w:val="both"/>
        <w:rPr>
          <w:rFonts w:ascii="Arial" w:eastAsia="Times New Roman" w:hAnsi="Arial" w:cs="Arial"/>
          <w:sz w:val="24"/>
          <w:szCs w:val="24"/>
          <w:vertAlign w:val="superscript"/>
        </w:rPr>
      </w:pPr>
      <w:r w:rsidRPr="00257ADF">
        <w:rPr>
          <w:rFonts w:ascii="Arial" w:eastAsia="Times New Roman" w:hAnsi="Arial" w:cs="Arial"/>
          <w:sz w:val="24"/>
          <w:szCs w:val="24"/>
        </w:rPr>
        <w:t>Hacia mediados de la década de los años 70, la medicina buscaba demostrar el carácter universal del llamado síndrome menopáusico y sus manifestaciones sintomatológicas.</w:t>
      </w:r>
      <w:r w:rsidR="00810BC2">
        <w:rPr>
          <w:rFonts w:ascii="Arial" w:eastAsia="Times New Roman" w:hAnsi="Arial" w:cs="Arial"/>
          <w:sz w:val="24"/>
          <w:szCs w:val="24"/>
          <w:vertAlign w:val="superscript"/>
        </w:rPr>
        <w:t>1</w:t>
      </w:r>
    </w:p>
    <w:p w:rsidR="006C3226" w:rsidRPr="00810BC2" w:rsidRDefault="006C3226" w:rsidP="005B6AE2">
      <w:pPr>
        <w:spacing w:line="240" w:lineRule="auto"/>
        <w:jc w:val="both"/>
        <w:rPr>
          <w:vertAlign w:val="superscript"/>
        </w:rPr>
      </w:pPr>
      <w:r w:rsidRPr="005136AC">
        <w:rPr>
          <w:rFonts w:ascii="Arial" w:eastAsia="Times New Roman" w:hAnsi="Arial" w:cs="Arial"/>
          <w:sz w:val="24"/>
          <w:szCs w:val="24"/>
        </w:rPr>
        <w:t>Aunque se usan de manera indistintas las palabras menopausia y climaterio, no significan lo mismo. La primera se refiere a la desaparición definitiva de la menstruación por un período aproximado de 12 meses, producto del fallo de la función ovárica. Durante el climaterio, sucede el último sangrado menstrual, al cual médicamente se le llama menopausia</w:t>
      </w:r>
      <w:r>
        <w:rPr>
          <w:rFonts w:ascii="Arial" w:eastAsia="Times New Roman" w:hAnsi="Arial" w:cs="Arial"/>
          <w:sz w:val="24"/>
          <w:szCs w:val="24"/>
        </w:rPr>
        <w:t>.</w:t>
      </w:r>
      <w:r w:rsidR="00810BC2">
        <w:rPr>
          <w:rFonts w:ascii="Arial" w:eastAsia="Times New Roman" w:hAnsi="Arial" w:cs="Arial"/>
          <w:sz w:val="24"/>
          <w:szCs w:val="24"/>
          <w:vertAlign w:val="superscript"/>
        </w:rPr>
        <w:t>2</w:t>
      </w:r>
    </w:p>
    <w:p w:rsidR="00257ADF" w:rsidRPr="00810BC2" w:rsidRDefault="00257ADF" w:rsidP="005B6AE2">
      <w:pPr>
        <w:spacing w:line="240" w:lineRule="auto"/>
        <w:jc w:val="both"/>
        <w:rPr>
          <w:rFonts w:ascii="Arial" w:hAnsi="Arial" w:cs="Arial"/>
          <w:sz w:val="24"/>
          <w:szCs w:val="24"/>
          <w:vertAlign w:val="superscript"/>
        </w:rPr>
      </w:pPr>
      <w:r w:rsidRPr="00257ADF">
        <w:rPr>
          <w:rFonts w:ascii="Arial" w:eastAsia="Times New Roman" w:hAnsi="Arial" w:cs="Arial"/>
          <w:sz w:val="24"/>
          <w:szCs w:val="24"/>
        </w:rPr>
        <w:t>Se considera que los síntomas asociados con la menopausia, pueden estar construidos culturalmente o basados en la genética. En América Latina el tratamiento de esta temática ha sido escasa, se podría situar en la década del 90 el inicio del estudio con una perspectiva sociocultural.</w:t>
      </w:r>
      <w:r w:rsidR="00810BC2">
        <w:rPr>
          <w:rFonts w:ascii="Arial" w:eastAsia="Times New Roman" w:hAnsi="Arial" w:cs="Arial"/>
          <w:sz w:val="24"/>
          <w:szCs w:val="24"/>
          <w:vertAlign w:val="superscript"/>
        </w:rPr>
        <w:t>2-4</w:t>
      </w:r>
    </w:p>
    <w:p w:rsidR="00385CF4" w:rsidRPr="00810BC2" w:rsidRDefault="00257ADF" w:rsidP="005B6AE2">
      <w:pPr>
        <w:spacing w:line="240" w:lineRule="auto"/>
        <w:jc w:val="both"/>
        <w:rPr>
          <w:rFonts w:ascii="Arial" w:hAnsi="Arial" w:cs="Arial"/>
          <w:sz w:val="24"/>
          <w:szCs w:val="24"/>
          <w:vertAlign w:val="superscript"/>
        </w:rPr>
      </w:pPr>
      <w:r w:rsidRPr="00257ADF">
        <w:rPr>
          <w:rFonts w:ascii="Arial" w:eastAsia="Times New Roman" w:hAnsi="Arial" w:cs="Arial"/>
          <w:sz w:val="24"/>
          <w:szCs w:val="24"/>
        </w:rPr>
        <w:t>El envejecimiento en Cuba constituye el principal problema demográfico. Este aumento en la expectativa de vida y la igualdad de género, le permite a la mujer cubana mantener una vida laboral activa e incrementar las responsabilidades al ocupar cargos directivos. Lo cual provoca que el período del climaterio y la menopausia constituyan más de dos décadas de su vida laboral y más de tres de su vida biológica</w:t>
      </w:r>
      <w:r w:rsidR="00810BC2">
        <w:rPr>
          <w:rFonts w:ascii="Arial" w:eastAsia="Times New Roman" w:hAnsi="Arial" w:cs="Arial"/>
          <w:sz w:val="24"/>
          <w:szCs w:val="24"/>
        </w:rPr>
        <w:t>.</w:t>
      </w:r>
      <w:r w:rsidR="00810BC2">
        <w:rPr>
          <w:rFonts w:ascii="Arial" w:eastAsia="Times New Roman" w:hAnsi="Arial" w:cs="Arial"/>
          <w:sz w:val="24"/>
          <w:szCs w:val="24"/>
          <w:vertAlign w:val="superscript"/>
        </w:rPr>
        <w:t>5-7</w:t>
      </w:r>
    </w:p>
    <w:p w:rsidR="00300B94" w:rsidRDefault="006C3226" w:rsidP="005B6AE2">
      <w:pPr>
        <w:autoSpaceDE w:val="0"/>
        <w:autoSpaceDN w:val="0"/>
        <w:adjustRightInd w:val="0"/>
        <w:spacing w:after="0" w:line="240" w:lineRule="auto"/>
        <w:jc w:val="both"/>
        <w:rPr>
          <w:rFonts w:ascii="Arial" w:eastAsia="Calibri" w:hAnsi="Arial" w:cs="Arial"/>
          <w:sz w:val="24"/>
          <w:szCs w:val="24"/>
        </w:rPr>
      </w:pPr>
      <w:r w:rsidRPr="005136AC">
        <w:rPr>
          <w:rFonts w:ascii="Arial" w:eastAsia="Calibri" w:hAnsi="Arial" w:cs="Arial"/>
          <w:sz w:val="24"/>
          <w:szCs w:val="24"/>
        </w:rPr>
        <w:t>Algunos autores consideran</w:t>
      </w:r>
      <w:r w:rsidR="00810BC2">
        <w:rPr>
          <w:rFonts w:ascii="Arial" w:eastAsia="Calibri" w:hAnsi="Arial" w:cs="Arial"/>
          <w:sz w:val="24"/>
          <w:szCs w:val="24"/>
          <w:vertAlign w:val="superscript"/>
        </w:rPr>
        <w:t>7</w:t>
      </w:r>
      <w:r w:rsidRPr="005136AC">
        <w:rPr>
          <w:rFonts w:ascii="Arial" w:eastAsia="Calibri" w:hAnsi="Arial" w:cs="Arial"/>
          <w:sz w:val="24"/>
          <w:szCs w:val="24"/>
        </w:rPr>
        <w:t xml:space="preserve"> que la menopausia tiene como base unos cambios hormonales que tendrán como consecuencia una serie de manifestaciones clínicas de tipo general que han cobrado especial importancia por el aumento de la esperanza de vida en la mujer, lo que significa que la mayoría de estas mujeres padecerán dichos síntomas durante la última tercera parte de su vida.</w:t>
      </w:r>
    </w:p>
    <w:p w:rsidR="00300B94" w:rsidRPr="00810BC2" w:rsidRDefault="00300B94" w:rsidP="00300B94">
      <w:pPr>
        <w:spacing w:line="240" w:lineRule="auto"/>
        <w:jc w:val="both"/>
        <w:rPr>
          <w:rFonts w:ascii="Arial" w:hAnsi="Arial" w:cs="Arial"/>
          <w:sz w:val="24"/>
          <w:szCs w:val="24"/>
          <w:vertAlign w:val="superscript"/>
        </w:rPr>
      </w:pPr>
      <w:r>
        <w:rPr>
          <w:rFonts w:ascii="Arial" w:eastAsia="Calibri" w:hAnsi="Arial" w:cs="Arial"/>
          <w:sz w:val="24"/>
          <w:szCs w:val="24"/>
        </w:rPr>
        <w:t xml:space="preserve">Las mujeres en etapa menopáusica </w:t>
      </w:r>
      <w:r w:rsidR="006C3226" w:rsidRPr="005136AC">
        <w:rPr>
          <w:rFonts w:ascii="Arial" w:eastAsia="Calibri" w:hAnsi="Arial" w:cs="Arial"/>
          <w:sz w:val="24"/>
          <w:szCs w:val="24"/>
        </w:rPr>
        <w:t>no  solo</w:t>
      </w:r>
      <w:r>
        <w:rPr>
          <w:rFonts w:ascii="Arial" w:eastAsia="Calibri" w:hAnsi="Arial" w:cs="Arial"/>
          <w:sz w:val="24"/>
          <w:szCs w:val="24"/>
        </w:rPr>
        <w:t xml:space="preserve"> pueden tener </w:t>
      </w:r>
      <w:r w:rsidR="006C3226" w:rsidRPr="005136AC">
        <w:rPr>
          <w:rFonts w:ascii="Arial" w:eastAsia="Calibri" w:hAnsi="Arial" w:cs="Arial"/>
          <w:sz w:val="24"/>
          <w:szCs w:val="24"/>
        </w:rPr>
        <w:t xml:space="preserve"> los síntomas generales (sofocos y alteraciones psicológicas) sino que también se producen síntomas a nivel oral</w:t>
      </w:r>
      <w:r>
        <w:rPr>
          <w:rFonts w:ascii="Arial" w:eastAsia="Calibri" w:hAnsi="Arial" w:cs="Arial"/>
          <w:sz w:val="24"/>
          <w:szCs w:val="24"/>
        </w:rPr>
        <w:t xml:space="preserve"> como: </w:t>
      </w:r>
      <w:r w:rsidR="006C3226" w:rsidRPr="005136AC">
        <w:rPr>
          <w:rFonts w:ascii="Arial" w:eastAsia="Calibri" w:hAnsi="Arial" w:cs="Arial"/>
          <w:sz w:val="24"/>
          <w:szCs w:val="24"/>
        </w:rPr>
        <w:t xml:space="preserve">un aumento en la incidencia de xerostomía, afecciones como el liquen plano, el </w:t>
      </w:r>
      <w:proofErr w:type="spellStart"/>
      <w:r w:rsidR="006C3226" w:rsidRPr="005136AC">
        <w:rPr>
          <w:rFonts w:ascii="Arial" w:eastAsia="Calibri" w:hAnsi="Arial" w:cs="Arial"/>
          <w:sz w:val="24"/>
          <w:szCs w:val="24"/>
        </w:rPr>
        <w:t>penfigoide</w:t>
      </w:r>
      <w:proofErr w:type="spellEnd"/>
      <w:r w:rsidR="006C3226" w:rsidRPr="005136AC">
        <w:rPr>
          <w:rFonts w:ascii="Arial" w:eastAsia="Calibri" w:hAnsi="Arial" w:cs="Arial"/>
          <w:sz w:val="24"/>
          <w:szCs w:val="24"/>
        </w:rPr>
        <w:t xml:space="preserve"> benigno, el síndrome de ardor bucal y la discutida prevalencia de enfermedades periodontales.</w:t>
      </w:r>
      <w:r w:rsidRPr="00300B94">
        <w:rPr>
          <w:rFonts w:ascii="Arial" w:eastAsia="Times New Roman" w:hAnsi="Arial" w:cs="Arial"/>
          <w:sz w:val="24"/>
          <w:szCs w:val="24"/>
          <w:vertAlign w:val="superscript"/>
        </w:rPr>
        <w:t xml:space="preserve"> </w:t>
      </w:r>
      <w:r>
        <w:rPr>
          <w:rFonts w:ascii="Arial" w:eastAsia="Times New Roman" w:hAnsi="Arial" w:cs="Arial"/>
          <w:sz w:val="24"/>
          <w:szCs w:val="24"/>
          <w:vertAlign w:val="superscript"/>
        </w:rPr>
        <w:t>5-7</w:t>
      </w:r>
    </w:p>
    <w:p w:rsidR="00385CF4" w:rsidRPr="00300B94" w:rsidRDefault="00385CF4" w:rsidP="005B6AE2">
      <w:pPr>
        <w:autoSpaceDE w:val="0"/>
        <w:autoSpaceDN w:val="0"/>
        <w:adjustRightInd w:val="0"/>
        <w:spacing w:after="0" w:line="240" w:lineRule="auto"/>
        <w:jc w:val="both"/>
        <w:rPr>
          <w:rFonts w:ascii="Arial" w:eastAsia="Calibri" w:hAnsi="Arial" w:cs="Arial"/>
          <w:sz w:val="24"/>
          <w:szCs w:val="24"/>
        </w:rPr>
      </w:pPr>
    </w:p>
    <w:p w:rsidR="00385CF4" w:rsidRPr="00CC1588" w:rsidRDefault="00385CF4" w:rsidP="005B6AE2">
      <w:pPr>
        <w:spacing w:after="160" w:line="240" w:lineRule="auto"/>
        <w:jc w:val="both"/>
        <w:rPr>
          <w:rFonts w:ascii="Arial" w:eastAsia="Calibri" w:hAnsi="Arial" w:cs="Arial"/>
          <w:sz w:val="24"/>
          <w:szCs w:val="24"/>
        </w:rPr>
      </w:pPr>
      <w:r w:rsidRPr="00CC1588">
        <w:rPr>
          <w:rFonts w:ascii="Arial" w:eastAsia="Calibri" w:hAnsi="Arial" w:cs="Arial"/>
          <w:sz w:val="24"/>
          <w:szCs w:val="24"/>
        </w:rPr>
        <w:lastRenderedPageBreak/>
        <w:t xml:space="preserve">El desconocimiento de algunas de estas afecciones y su tratamiento inmediato, la ausencia de datos para definir la magnitud del problema en el territorio, así como la frecuencia de mujeres con alteraciones bucales en la etapa </w:t>
      </w:r>
      <w:r>
        <w:rPr>
          <w:rFonts w:ascii="Arial" w:eastAsia="Calibri" w:hAnsi="Arial" w:cs="Arial"/>
          <w:sz w:val="24"/>
          <w:szCs w:val="24"/>
        </w:rPr>
        <w:t xml:space="preserve">menopáusica </w:t>
      </w:r>
      <w:r w:rsidRPr="00CC1588">
        <w:rPr>
          <w:rFonts w:ascii="Arial" w:eastAsia="Calibri" w:hAnsi="Arial" w:cs="Arial"/>
          <w:sz w:val="24"/>
          <w:szCs w:val="24"/>
        </w:rPr>
        <w:t>revela la necesidad de este estudio que permitirá conocer las medidas oportunas en los servicios de salud para prevenir estas afecciones elevando la calidad de vida de las féminas en este período.</w:t>
      </w:r>
    </w:p>
    <w:p w:rsidR="00385CF4" w:rsidRDefault="00385CF4" w:rsidP="005B6AE2">
      <w:pPr>
        <w:spacing w:after="160" w:line="240" w:lineRule="auto"/>
        <w:jc w:val="both"/>
        <w:rPr>
          <w:rFonts w:ascii="Arial" w:eastAsia="Calibri" w:hAnsi="Arial" w:cs="Arial"/>
          <w:sz w:val="24"/>
          <w:szCs w:val="24"/>
        </w:rPr>
      </w:pPr>
      <w:r w:rsidRPr="00CC1588">
        <w:rPr>
          <w:rFonts w:ascii="Arial" w:eastAsia="Calibri" w:hAnsi="Arial" w:cs="Arial"/>
          <w:sz w:val="24"/>
          <w:szCs w:val="24"/>
        </w:rPr>
        <w:t xml:space="preserve"> Por</w:t>
      </w:r>
      <w:r w:rsidR="008E5742">
        <w:rPr>
          <w:rFonts w:ascii="Arial" w:eastAsia="Calibri" w:hAnsi="Arial" w:cs="Arial"/>
          <w:sz w:val="24"/>
          <w:szCs w:val="24"/>
        </w:rPr>
        <w:t xml:space="preserve"> </w:t>
      </w:r>
      <w:r w:rsidRPr="00CC1588">
        <w:rPr>
          <w:rFonts w:ascii="Arial" w:eastAsia="Calibri" w:hAnsi="Arial" w:cs="Arial"/>
          <w:sz w:val="24"/>
          <w:szCs w:val="24"/>
        </w:rPr>
        <w:t xml:space="preserve">todo lo planteado  se considera que la temática resulta interesante, con estas búsquedas en la literatura actual se  pretende elevar los conocimientos en el plano científico de profesionales, técnicos y de la población en general para disminuir la incidencia de las lesiones bucales que pueden ocasionar desde ligeras molestias hasta severos daños en las mucosas, los órganos dentarios, tejidos de soporte y en la ATM, el avance de estas alteraciones del complejo bucal requiere de tratamientos curativos más complejos y se pudiera agravar incluso la afección  psicológica que presentan las mujeres en etapa de </w:t>
      </w:r>
      <w:r>
        <w:rPr>
          <w:rFonts w:ascii="Arial" w:eastAsia="Calibri" w:hAnsi="Arial" w:cs="Arial"/>
          <w:sz w:val="24"/>
          <w:szCs w:val="24"/>
        </w:rPr>
        <w:t>menopausia</w:t>
      </w:r>
      <w:r w:rsidRPr="00CC1588">
        <w:rPr>
          <w:rFonts w:ascii="Arial" w:eastAsia="Calibri" w:hAnsi="Arial" w:cs="Arial"/>
          <w:sz w:val="24"/>
          <w:szCs w:val="24"/>
        </w:rPr>
        <w:t>.</w:t>
      </w:r>
    </w:p>
    <w:p w:rsidR="00385CF4" w:rsidRPr="00385CF4" w:rsidRDefault="00385CF4" w:rsidP="005B6AE2">
      <w:pPr>
        <w:spacing w:after="160" w:line="240" w:lineRule="auto"/>
        <w:jc w:val="both"/>
        <w:rPr>
          <w:rFonts w:ascii="Arial" w:hAnsi="Arial" w:cs="Arial"/>
          <w:sz w:val="24"/>
          <w:szCs w:val="24"/>
        </w:rPr>
      </w:pPr>
      <w:r w:rsidRPr="00385CF4">
        <w:rPr>
          <w:rFonts w:ascii="Arial" w:hAnsi="Arial" w:cs="Arial"/>
          <w:sz w:val="24"/>
          <w:szCs w:val="24"/>
        </w:rPr>
        <w:t>La investigación persigue como objetivo describir las características clínicas epidemiológicas de las mujeres en etapa menopáusica.</w:t>
      </w:r>
    </w:p>
    <w:p w:rsidR="00385CF4" w:rsidRPr="002E7D34" w:rsidRDefault="00385CF4" w:rsidP="005B6AE2">
      <w:pPr>
        <w:spacing w:after="160" w:line="240" w:lineRule="auto"/>
        <w:jc w:val="both"/>
        <w:rPr>
          <w:rFonts w:ascii="Arial" w:eastAsia="Calibri" w:hAnsi="Arial" w:cs="Arial"/>
          <w:sz w:val="24"/>
          <w:szCs w:val="24"/>
        </w:rPr>
      </w:pPr>
    </w:p>
    <w:p w:rsidR="00385CF4" w:rsidRDefault="00E44D65" w:rsidP="005B6AE2">
      <w:pPr>
        <w:spacing w:line="240" w:lineRule="auto"/>
        <w:rPr>
          <w:rFonts w:ascii="Arial" w:hAnsi="Arial" w:cs="Arial"/>
          <w:b/>
          <w:sz w:val="24"/>
          <w:szCs w:val="24"/>
        </w:rPr>
      </w:pPr>
      <w:r w:rsidRPr="00E44D65">
        <w:rPr>
          <w:rFonts w:ascii="Arial" w:hAnsi="Arial" w:cs="Arial"/>
          <w:b/>
          <w:sz w:val="24"/>
          <w:szCs w:val="24"/>
        </w:rPr>
        <w:t>MÉTODOS</w:t>
      </w:r>
    </w:p>
    <w:p w:rsidR="00E44D65" w:rsidRPr="005136AC" w:rsidRDefault="00E44D65" w:rsidP="005B6AE2">
      <w:pPr>
        <w:pStyle w:val="Textoindependiente"/>
        <w:rPr>
          <w:rFonts w:ascii="Arial" w:hAnsi="Arial" w:cs="Arial"/>
          <w:b w:val="0"/>
          <w:sz w:val="24"/>
        </w:rPr>
      </w:pPr>
      <w:r>
        <w:rPr>
          <w:rFonts w:ascii="Arial" w:hAnsi="Arial" w:cs="Arial"/>
          <w:b w:val="0"/>
          <w:sz w:val="24"/>
        </w:rPr>
        <w:t>Se realizó</w:t>
      </w:r>
      <w:r w:rsidRPr="005136AC">
        <w:rPr>
          <w:rFonts w:ascii="Arial" w:hAnsi="Arial" w:cs="Arial"/>
          <w:b w:val="0"/>
          <w:sz w:val="24"/>
        </w:rPr>
        <w:t xml:space="preserve"> un estudio observacional descriptivo de corte transversal en el período comprendido entre el mes de octubre del 2018 a </w:t>
      </w:r>
      <w:r>
        <w:rPr>
          <w:rFonts w:ascii="Arial" w:hAnsi="Arial" w:cs="Arial"/>
          <w:b w:val="0"/>
          <w:sz w:val="24"/>
        </w:rPr>
        <w:t xml:space="preserve">octubre </w:t>
      </w:r>
      <w:r w:rsidRPr="005136AC">
        <w:rPr>
          <w:rFonts w:ascii="Arial" w:hAnsi="Arial" w:cs="Arial"/>
          <w:b w:val="0"/>
          <w:sz w:val="24"/>
        </w:rPr>
        <w:t>del 2020.</w:t>
      </w:r>
    </w:p>
    <w:p w:rsidR="00E44D65" w:rsidRDefault="00E44D65" w:rsidP="005B6AE2">
      <w:pPr>
        <w:pStyle w:val="Textoindependiente"/>
        <w:rPr>
          <w:rFonts w:ascii="Arial" w:hAnsi="Arial" w:cs="Arial"/>
          <w:b w:val="0"/>
          <w:sz w:val="24"/>
        </w:rPr>
      </w:pPr>
      <w:r w:rsidRPr="00731F15">
        <w:rPr>
          <w:rFonts w:ascii="Arial" w:hAnsi="Arial" w:cs="Arial"/>
          <w:b w:val="0"/>
          <w:sz w:val="24"/>
        </w:rPr>
        <w:t>La población objeto de estudio estuvo integrada por 110 mujeres del consultorio 20 en etapa menopáusica con manifestaciones clínicas bucales que acudieron a la clí</w:t>
      </w:r>
      <w:r>
        <w:rPr>
          <w:rFonts w:ascii="Arial" w:hAnsi="Arial" w:cs="Arial"/>
          <w:b w:val="0"/>
          <w:sz w:val="24"/>
        </w:rPr>
        <w:t xml:space="preserve">nica Estomatológica Docente de </w:t>
      </w:r>
      <w:r w:rsidRPr="00731F15">
        <w:rPr>
          <w:rFonts w:ascii="Arial" w:hAnsi="Arial" w:cs="Arial"/>
          <w:b w:val="0"/>
          <w:sz w:val="24"/>
        </w:rPr>
        <w:t>Güines, Provincia Mayabeque.</w:t>
      </w:r>
      <w:r w:rsidR="000B4E5E">
        <w:rPr>
          <w:rFonts w:ascii="Arial" w:hAnsi="Arial" w:cs="Arial"/>
          <w:b w:val="0"/>
          <w:sz w:val="24"/>
        </w:rPr>
        <w:t xml:space="preserve"> Se excluyeron las mujeres en etapa menopaúsica </w:t>
      </w:r>
      <w:r w:rsidR="000B4E5E" w:rsidRPr="00FF3416">
        <w:rPr>
          <w:rFonts w:ascii="Arial" w:hAnsi="Arial" w:cs="Arial"/>
          <w:b w:val="0"/>
          <w:sz w:val="24"/>
        </w:rPr>
        <w:t>que no presentan manifestaciones clínicas bucales</w:t>
      </w:r>
      <w:r w:rsidR="000B4E5E">
        <w:rPr>
          <w:rFonts w:ascii="Arial" w:hAnsi="Arial" w:cs="Arial"/>
          <w:b w:val="0"/>
          <w:sz w:val="24"/>
        </w:rPr>
        <w:t xml:space="preserve"> y las </w:t>
      </w:r>
      <w:r w:rsidR="000B4E5E" w:rsidRPr="00FF3416">
        <w:rPr>
          <w:rFonts w:ascii="Arial" w:hAnsi="Arial" w:cs="Arial"/>
          <w:b w:val="0"/>
          <w:sz w:val="24"/>
        </w:rPr>
        <w:t>clasificadas como no válidas por alteraciones psiquiátricas y/o demencia senil</w:t>
      </w:r>
      <w:r w:rsidR="000B4E5E">
        <w:rPr>
          <w:rFonts w:ascii="Arial" w:hAnsi="Arial" w:cs="Arial"/>
          <w:b w:val="0"/>
          <w:sz w:val="24"/>
        </w:rPr>
        <w:t>.</w:t>
      </w:r>
      <w:r w:rsidRPr="00731F15">
        <w:rPr>
          <w:rFonts w:ascii="Arial" w:hAnsi="Arial" w:cs="Arial"/>
          <w:b w:val="0"/>
          <w:sz w:val="24"/>
        </w:rPr>
        <w:t xml:space="preserve"> No se empleó ninguna técnica de muestreo porque la casuística se consideró muy pequeña.</w:t>
      </w:r>
    </w:p>
    <w:p w:rsidR="00E44D65" w:rsidRPr="005136AC" w:rsidRDefault="000B4E5E" w:rsidP="005B6AE2">
      <w:pPr>
        <w:pStyle w:val="Textoindependiente"/>
        <w:rPr>
          <w:rFonts w:ascii="Arial" w:hAnsi="Arial" w:cs="Arial"/>
          <w:b w:val="0"/>
          <w:sz w:val="24"/>
        </w:rPr>
      </w:pPr>
      <w:r>
        <w:rPr>
          <w:rFonts w:ascii="Arial" w:hAnsi="Arial" w:cs="Arial"/>
          <w:b w:val="0"/>
          <w:sz w:val="24"/>
        </w:rPr>
        <w:t>Las variables utilizadas fueron: tipos de menopausia,</w:t>
      </w:r>
      <w:r>
        <w:rPr>
          <w:rFonts w:ascii="Arial" w:hAnsi="Arial" w:cs="Arial"/>
          <w:b w:val="0"/>
          <w:sz w:val="24"/>
          <w:lang w:eastAsia="en-US"/>
        </w:rPr>
        <w:t xml:space="preserve">enfermedades y/o manifestaciones </w:t>
      </w:r>
      <w:r w:rsidRPr="005136AC">
        <w:rPr>
          <w:rFonts w:ascii="Arial" w:hAnsi="Arial" w:cs="Arial"/>
          <w:b w:val="0"/>
          <w:sz w:val="24"/>
          <w:lang w:eastAsia="en-US"/>
        </w:rPr>
        <w:t>clínica</w:t>
      </w:r>
      <w:r>
        <w:rPr>
          <w:rFonts w:ascii="Arial" w:hAnsi="Arial" w:cs="Arial"/>
          <w:b w:val="0"/>
          <w:sz w:val="24"/>
          <w:lang w:eastAsia="en-US"/>
        </w:rPr>
        <w:t>s</w:t>
      </w:r>
      <w:r w:rsidRPr="005136AC">
        <w:rPr>
          <w:rFonts w:ascii="Arial" w:hAnsi="Arial" w:cs="Arial"/>
          <w:b w:val="0"/>
          <w:sz w:val="24"/>
          <w:lang w:eastAsia="en-US"/>
        </w:rPr>
        <w:t xml:space="preserve"> bucales</w:t>
      </w:r>
      <w:r>
        <w:rPr>
          <w:rFonts w:ascii="Arial" w:hAnsi="Arial" w:cs="Arial"/>
          <w:b w:val="0"/>
          <w:sz w:val="24"/>
          <w:lang w:eastAsia="en-US"/>
        </w:rPr>
        <w:t>, localización del ardor bucal, manifestaciones clínicas de la enfermedad periodontal y enfermedades sistémicas.</w:t>
      </w:r>
    </w:p>
    <w:p w:rsidR="000B4E5E" w:rsidRPr="008A4997" w:rsidRDefault="000B4E5E" w:rsidP="005B6AE2">
      <w:pPr>
        <w:pStyle w:val="Textoindependiente"/>
        <w:rPr>
          <w:rFonts w:ascii="Arial" w:hAnsi="Arial" w:cs="Arial"/>
          <w:b w:val="0"/>
          <w:sz w:val="24"/>
        </w:rPr>
      </w:pPr>
      <w:r w:rsidRPr="005136AC">
        <w:rPr>
          <w:rFonts w:ascii="Arial" w:hAnsi="Arial" w:cs="Arial"/>
          <w:b w:val="0"/>
          <w:sz w:val="24"/>
        </w:rPr>
        <w:t xml:space="preserve">Previo a la recolección de </w:t>
      </w:r>
      <w:r>
        <w:rPr>
          <w:rFonts w:ascii="Arial" w:hAnsi="Arial" w:cs="Arial"/>
          <w:b w:val="0"/>
          <w:sz w:val="24"/>
        </w:rPr>
        <w:t xml:space="preserve">la información, se </w:t>
      </w:r>
      <w:proofErr w:type="gramStart"/>
      <w:r>
        <w:rPr>
          <w:rFonts w:ascii="Arial" w:hAnsi="Arial" w:cs="Arial"/>
          <w:b w:val="0"/>
          <w:sz w:val="24"/>
        </w:rPr>
        <w:t>le</w:t>
      </w:r>
      <w:proofErr w:type="gramEnd"/>
      <w:r>
        <w:rPr>
          <w:rFonts w:ascii="Arial" w:hAnsi="Arial" w:cs="Arial"/>
          <w:b w:val="0"/>
          <w:sz w:val="24"/>
        </w:rPr>
        <w:t xml:space="preserve"> comunicó</w:t>
      </w:r>
      <w:r w:rsidR="00164AA3">
        <w:rPr>
          <w:rFonts w:ascii="Arial" w:hAnsi="Arial" w:cs="Arial"/>
          <w:b w:val="0"/>
          <w:sz w:val="24"/>
        </w:rPr>
        <w:t xml:space="preserve"> a las mujeres los</w:t>
      </w:r>
      <w:r w:rsidRPr="005136AC">
        <w:rPr>
          <w:rFonts w:ascii="Arial" w:hAnsi="Arial" w:cs="Arial"/>
          <w:b w:val="0"/>
          <w:sz w:val="24"/>
        </w:rPr>
        <w:t xml:space="preserve"> objetivos y la importancia del est</w:t>
      </w:r>
      <w:r>
        <w:rPr>
          <w:rFonts w:ascii="Arial" w:hAnsi="Arial" w:cs="Arial"/>
          <w:b w:val="0"/>
          <w:sz w:val="24"/>
        </w:rPr>
        <w:t>udio, tuvieron</w:t>
      </w:r>
      <w:r w:rsidRPr="005136AC">
        <w:rPr>
          <w:rFonts w:ascii="Arial" w:hAnsi="Arial" w:cs="Arial"/>
          <w:b w:val="0"/>
          <w:sz w:val="24"/>
        </w:rPr>
        <w:t xml:space="preserve"> la oportunidad de esclarecer sus interrogantes para decid</w:t>
      </w:r>
      <w:r>
        <w:rPr>
          <w:rFonts w:ascii="Arial" w:hAnsi="Arial" w:cs="Arial"/>
          <w:b w:val="0"/>
          <w:sz w:val="24"/>
        </w:rPr>
        <w:t>ir su cooperación y se les expresó además que se garantizaría</w:t>
      </w:r>
      <w:r w:rsidRPr="005136AC">
        <w:rPr>
          <w:rFonts w:ascii="Arial" w:hAnsi="Arial" w:cs="Arial"/>
          <w:b w:val="0"/>
          <w:sz w:val="24"/>
        </w:rPr>
        <w:t xml:space="preserve"> la discreción en el manejo de la información</w:t>
      </w:r>
      <w:r>
        <w:rPr>
          <w:rFonts w:ascii="Arial" w:hAnsi="Arial" w:cs="Arial"/>
          <w:b w:val="0"/>
          <w:sz w:val="24"/>
        </w:rPr>
        <w:t xml:space="preserve">, obteniendo </w:t>
      </w:r>
      <w:r w:rsidRPr="005136AC">
        <w:rPr>
          <w:rFonts w:ascii="Arial" w:hAnsi="Arial" w:cs="Arial"/>
          <w:b w:val="0"/>
          <w:sz w:val="24"/>
        </w:rPr>
        <w:t>de esta manera su consentimiento informado</w:t>
      </w:r>
      <w:r>
        <w:rPr>
          <w:rFonts w:ascii="Arial" w:hAnsi="Arial" w:cs="Arial"/>
          <w:b w:val="0"/>
          <w:sz w:val="24"/>
        </w:rPr>
        <w:t>.</w:t>
      </w:r>
    </w:p>
    <w:p w:rsidR="000B4E5E" w:rsidRDefault="000B4E5E" w:rsidP="005B6AE2">
      <w:pPr>
        <w:pStyle w:val="Textoindependiente"/>
        <w:rPr>
          <w:rFonts w:ascii="Arial" w:hAnsi="Arial" w:cs="Arial"/>
          <w:b w:val="0"/>
          <w:sz w:val="24"/>
        </w:rPr>
      </w:pPr>
      <w:r w:rsidRPr="005136AC">
        <w:rPr>
          <w:rFonts w:ascii="Arial" w:hAnsi="Arial" w:cs="Arial"/>
          <w:b w:val="0"/>
          <w:sz w:val="24"/>
        </w:rPr>
        <w:t xml:space="preserve">Para la recolección de los datos </w:t>
      </w:r>
      <w:r>
        <w:rPr>
          <w:rFonts w:ascii="Arial" w:hAnsi="Arial" w:cs="Arial"/>
          <w:b w:val="0"/>
          <w:sz w:val="24"/>
        </w:rPr>
        <w:t xml:space="preserve">fue de </w:t>
      </w:r>
      <w:r w:rsidRPr="005136AC">
        <w:rPr>
          <w:rFonts w:ascii="Arial" w:hAnsi="Arial" w:cs="Arial"/>
          <w:b w:val="0"/>
          <w:sz w:val="24"/>
        </w:rPr>
        <w:t>gran utilidad la revisión de las historias de salud bucal familiar (HSBF)</w:t>
      </w:r>
      <w:r>
        <w:rPr>
          <w:rFonts w:ascii="Arial" w:hAnsi="Arial" w:cs="Arial"/>
          <w:b w:val="0"/>
          <w:sz w:val="24"/>
        </w:rPr>
        <w:t>,</w:t>
      </w:r>
      <w:r w:rsidRPr="001E2C09">
        <w:rPr>
          <w:rFonts w:ascii="Arial" w:hAnsi="Arial" w:cs="Arial"/>
          <w:b w:val="0"/>
          <w:sz w:val="24"/>
        </w:rPr>
        <w:t xml:space="preserve"> además la información y criterios</w:t>
      </w:r>
      <w:r>
        <w:rPr>
          <w:rFonts w:ascii="Arial" w:hAnsi="Arial" w:cs="Arial"/>
          <w:b w:val="0"/>
          <w:sz w:val="24"/>
        </w:rPr>
        <w:t xml:space="preserve"> emitidos por la enfermera y el doctor del consultorio médico. A las pacientes s</w:t>
      </w:r>
      <w:r w:rsidRPr="00DF027C">
        <w:rPr>
          <w:rFonts w:ascii="Arial" w:hAnsi="Arial" w:cs="Arial"/>
          <w:b w:val="0"/>
          <w:sz w:val="24"/>
        </w:rPr>
        <w:t>e les realizó el interrogatorio y el examen clínico bucal donde se dispuso de buena iluminación, higiene y ventilación, auxiliándonos del set de clasificación.</w:t>
      </w:r>
    </w:p>
    <w:p w:rsidR="00164AA3" w:rsidRDefault="000B4E5E" w:rsidP="005B6AE2">
      <w:pPr>
        <w:pStyle w:val="Textoindependiente"/>
        <w:rPr>
          <w:rFonts w:ascii="Arial" w:hAnsi="Arial" w:cs="Arial"/>
          <w:b w:val="0"/>
          <w:sz w:val="24"/>
        </w:rPr>
      </w:pPr>
      <w:r>
        <w:rPr>
          <w:rFonts w:ascii="Arial" w:hAnsi="Arial" w:cs="Arial"/>
          <w:b w:val="0"/>
          <w:sz w:val="24"/>
        </w:rPr>
        <w:t>Para la recogida de la información se confeccionó una planilla recolectora, los datos se procesaron en formato digital y los resultados se presentaron en tablas</w:t>
      </w:r>
      <w:r w:rsidR="00164AA3">
        <w:rPr>
          <w:rFonts w:ascii="Arial" w:hAnsi="Arial" w:cs="Arial"/>
          <w:b w:val="0"/>
          <w:sz w:val="24"/>
        </w:rPr>
        <w:t>, se empleó el porcentaje como medida de resumen.</w:t>
      </w:r>
    </w:p>
    <w:p w:rsidR="000B4E5E" w:rsidRDefault="00164AA3" w:rsidP="005B6AE2">
      <w:pPr>
        <w:pStyle w:val="Textoindependiente"/>
        <w:rPr>
          <w:rFonts w:ascii="Arial" w:hAnsi="Arial" w:cs="Arial"/>
          <w:sz w:val="24"/>
        </w:rPr>
      </w:pPr>
      <w:r>
        <w:rPr>
          <w:rFonts w:ascii="Arial" w:hAnsi="Arial" w:cs="Arial"/>
          <w:b w:val="0"/>
          <w:sz w:val="24"/>
        </w:rPr>
        <w:t>Para el análisis estadístico, se utilizó la tabla de contingencia a través de la dócima</w:t>
      </w:r>
      <w:r w:rsidRPr="00164AA3">
        <w:rPr>
          <w:rFonts w:ascii="Arial" w:hAnsi="Arial" w:cs="Arial"/>
          <w:b w:val="0"/>
          <w:sz w:val="24"/>
        </w:rPr>
        <w:t>x</w:t>
      </w:r>
      <w:r w:rsidRPr="00164AA3">
        <w:rPr>
          <w:rFonts w:ascii="Arial" w:hAnsi="Arial" w:cs="Arial"/>
          <w:b w:val="0"/>
          <w:sz w:val="24"/>
          <w:vertAlign w:val="superscript"/>
        </w:rPr>
        <w:t>2</w:t>
      </w:r>
      <w:r>
        <w:rPr>
          <w:rFonts w:ascii="Arial" w:hAnsi="Arial" w:cs="Arial"/>
          <w:b w:val="0"/>
          <w:sz w:val="24"/>
        </w:rPr>
        <w:t xml:space="preserve">Steel and </w:t>
      </w:r>
      <w:proofErr w:type="spellStart"/>
      <w:r>
        <w:rPr>
          <w:rFonts w:ascii="Arial" w:hAnsi="Arial" w:cs="Arial"/>
          <w:b w:val="0"/>
          <w:sz w:val="24"/>
        </w:rPr>
        <w:t>Torrie</w:t>
      </w:r>
      <w:proofErr w:type="spellEnd"/>
      <w:r>
        <w:rPr>
          <w:rFonts w:ascii="Arial" w:hAnsi="Arial" w:cs="Arial"/>
          <w:b w:val="0"/>
          <w:sz w:val="24"/>
        </w:rPr>
        <w:t xml:space="preserve">, 1988 con un grado de confiabilidad de un 95% para p 0.05. En los casos en que se alcanzaron diferencias significativas se aplicó la </w:t>
      </w:r>
      <w:proofErr w:type="spellStart"/>
      <w:r>
        <w:rPr>
          <w:rFonts w:ascii="Arial" w:hAnsi="Arial" w:cs="Arial"/>
          <w:b w:val="0"/>
          <w:sz w:val="24"/>
        </w:rPr>
        <w:t>dócima</w:t>
      </w:r>
      <w:proofErr w:type="spellEnd"/>
      <w:r>
        <w:rPr>
          <w:rFonts w:ascii="Arial" w:hAnsi="Arial" w:cs="Arial"/>
          <w:b w:val="0"/>
          <w:sz w:val="24"/>
        </w:rPr>
        <w:t xml:space="preserve"> de comparación múltiple de Duncan 1955.</w:t>
      </w:r>
    </w:p>
    <w:p w:rsidR="00004A73" w:rsidRPr="00004A73" w:rsidRDefault="00004A73" w:rsidP="005B6AE2">
      <w:pPr>
        <w:spacing w:line="240" w:lineRule="auto"/>
        <w:jc w:val="both"/>
        <w:rPr>
          <w:rFonts w:ascii="Arial" w:hAnsi="Arial" w:cs="Arial"/>
          <w:sz w:val="24"/>
          <w:szCs w:val="24"/>
        </w:rPr>
      </w:pPr>
    </w:p>
    <w:p w:rsidR="000B4E5E" w:rsidRDefault="00004A73" w:rsidP="005B6AE2">
      <w:pPr>
        <w:spacing w:line="240" w:lineRule="auto"/>
        <w:jc w:val="both"/>
        <w:rPr>
          <w:rFonts w:ascii="Arial" w:hAnsi="Arial" w:cs="Arial"/>
          <w:b/>
          <w:sz w:val="24"/>
          <w:szCs w:val="24"/>
        </w:rPr>
      </w:pPr>
      <w:r w:rsidRPr="00004A73">
        <w:rPr>
          <w:rFonts w:ascii="Arial" w:hAnsi="Arial" w:cs="Arial"/>
          <w:b/>
          <w:sz w:val="24"/>
          <w:szCs w:val="24"/>
        </w:rPr>
        <w:t>RESULTADOS</w:t>
      </w:r>
    </w:p>
    <w:p w:rsidR="00810BC2" w:rsidRDefault="00004A73" w:rsidP="005B6AE2">
      <w:pPr>
        <w:spacing w:line="240" w:lineRule="auto"/>
        <w:jc w:val="both"/>
        <w:rPr>
          <w:rFonts w:ascii="Arial" w:hAnsi="Arial" w:cs="Arial"/>
          <w:sz w:val="24"/>
          <w:szCs w:val="24"/>
        </w:rPr>
      </w:pPr>
      <w:r>
        <w:rPr>
          <w:rFonts w:ascii="Arial" w:hAnsi="Arial" w:cs="Arial"/>
          <w:sz w:val="24"/>
          <w:szCs w:val="24"/>
        </w:rPr>
        <w:t>E</w:t>
      </w:r>
      <w:r w:rsidRPr="00F30821">
        <w:rPr>
          <w:rFonts w:ascii="Arial" w:hAnsi="Arial" w:cs="Arial"/>
          <w:sz w:val="24"/>
          <w:szCs w:val="24"/>
        </w:rPr>
        <w:t>l grupo de edad que obtuvo el porciento más elevado es el correspondiente a las mujeres con menopausia natural que abarca desde los 40 hasta los 55 año</w:t>
      </w:r>
      <w:r>
        <w:rPr>
          <w:rFonts w:ascii="Arial" w:hAnsi="Arial" w:cs="Arial"/>
          <w:sz w:val="24"/>
          <w:szCs w:val="24"/>
        </w:rPr>
        <w:t>s de edad con un 52,73</w:t>
      </w:r>
      <w:r w:rsidRPr="00F30821">
        <w:rPr>
          <w:rFonts w:ascii="Arial" w:hAnsi="Arial" w:cs="Arial"/>
          <w:sz w:val="24"/>
          <w:szCs w:val="24"/>
        </w:rPr>
        <w:t xml:space="preserve">% </w:t>
      </w:r>
      <w:r>
        <w:rPr>
          <w:rFonts w:ascii="Arial" w:hAnsi="Arial" w:cs="Arial"/>
          <w:sz w:val="24"/>
          <w:szCs w:val="24"/>
        </w:rPr>
        <w:t xml:space="preserve">con diferencias significativas del resto de los tipos de menopausia </w:t>
      </w:r>
      <w:r w:rsidRPr="00F30821">
        <w:rPr>
          <w:rFonts w:ascii="Arial" w:hAnsi="Arial" w:cs="Arial"/>
          <w:sz w:val="24"/>
          <w:szCs w:val="24"/>
        </w:rPr>
        <w:t>seguido de las mujeres que presentaro</w:t>
      </w:r>
      <w:r>
        <w:rPr>
          <w:rFonts w:ascii="Arial" w:hAnsi="Arial" w:cs="Arial"/>
          <w:sz w:val="24"/>
          <w:szCs w:val="24"/>
        </w:rPr>
        <w:t>n menopausia tardía con un 40,91%, tabla 1.</w:t>
      </w:r>
    </w:p>
    <w:p w:rsidR="00004A73" w:rsidRDefault="00004A73" w:rsidP="005B6AE2">
      <w:pPr>
        <w:pStyle w:val="Default"/>
        <w:jc w:val="both"/>
        <w:rPr>
          <w:color w:val="auto"/>
        </w:rPr>
      </w:pPr>
      <w:r>
        <w:rPr>
          <w:b/>
          <w:color w:val="auto"/>
        </w:rPr>
        <w:t xml:space="preserve">Tabla </w:t>
      </w:r>
      <w:r w:rsidRPr="00C77479">
        <w:rPr>
          <w:b/>
          <w:color w:val="auto"/>
        </w:rPr>
        <w:t xml:space="preserve">1: </w:t>
      </w:r>
      <w:r w:rsidRPr="00C77479">
        <w:rPr>
          <w:color w:val="auto"/>
        </w:rPr>
        <w:t>Tipo de menopausia según edad de aparición, Güines 2018-2020.</w:t>
      </w:r>
    </w:p>
    <w:p w:rsidR="00004A73" w:rsidRPr="00C77479" w:rsidRDefault="00004A73" w:rsidP="005B6AE2">
      <w:pPr>
        <w:pStyle w:val="Default"/>
        <w:jc w:val="both"/>
        <w:rPr>
          <w:i/>
        </w:rPr>
      </w:pPr>
    </w:p>
    <w:tbl>
      <w:tblPr>
        <w:tblStyle w:val="Tablaconcuadrcula"/>
        <w:tblpPr w:leftFromText="141" w:rightFromText="141" w:vertAnchor="text" w:horzAnchor="margin" w:tblpXSpec="center" w:tblpY="388"/>
        <w:tblOverlap w:val="never"/>
        <w:tblW w:w="0" w:type="auto"/>
        <w:tblLook w:val="04A0" w:firstRow="1" w:lastRow="0" w:firstColumn="1" w:lastColumn="0" w:noHBand="0" w:noVBand="1"/>
      </w:tblPr>
      <w:tblGrid>
        <w:gridCol w:w="3659"/>
        <w:gridCol w:w="964"/>
        <w:gridCol w:w="1151"/>
      </w:tblGrid>
      <w:tr w:rsidR="00004A73" w:rsidTr="00810BC2">
        <w:trPr>
          <w:trHeight w:val="453"/>
        </w:trPr>
        <w:tc>
          <w:tcPr>
            <w:tcW w:w="3659" w:type="dxa"/>
          </w:tcPr>
          <w:p w:rsidR="00004A73" w:rsidRPr="00B75215" w:rsidRDefault="00004A73" w:rsidP="005B6AE2">
            <w:pPr>
              <w:pStyle w:val="Default"/>
              <w:jc w:val="center"/>
              <w:rPr>
                <w:b/>
                <w:color w:val="auto"/>
              </w:rPr>
            </w:pPr>
            <w:r>
              <w:rPr>
                <w:b/>
                <w:color w:val="auto"/>
              </w:rPr>
              <w:t>Tipos de menopausia</w:t>
            </w:r>
          </w:p>
        </w:tc>
        <w:tc>
          <w:tcPr>
            <w:tcW w:w="964" w:type="dxa"/>
          </w:tcPr>
          <w:p w:rsidR="00004A73" w:rsidRPr="00562761" w:rsidRDefault="00004A73" w:rsidP="005B6AE2">
            <w:pPr>
              <w:pStyle w:val="Default"/>
              <w:jc w:val="center"/>
              <w:rPr>
                <w:color w:val="auto"/>
              </w:rPr>
            </w:pPr>
            <w:r w:rsidRPr="00B75215">
              <w:rPr>
                <w:b/>
                <w:color w:val="auto"/>
              </w:rPr>
              <w:t>No</w:t>
            </w:r>
            <w:r w:rsidRPr="00562761">
              <w:rPr>
                <w:color w:val="auto"/>
              </w:rPr>
              <w:t>.</w:t>
            </w:r>
          </w:p>
        </w:tc>
        <w:tc>
          <w:tcPr>
            <w:tcW w:w="1151" w:type="dxa"/>
          </w:tcPr>
          <w:p w:rsidR="00004A73" w:rsidRPr="00B75215" w:rsidRDefault="00004A73" w:rsidP="005B6AE2">
            <w:pPr>
              <w:pStyle w:val="Default"/>
              <w:jc w:val="center"/>
              <w:rPr>
                <w:b/>
                <w:color w:val="auto"/>
              </w:rPr>
            </w:pPr>
            <w:r w:rsidRPr="00B75215">
              <w:rPr>
                <w:b/>
                <w:color w:val="auto"/>
              </w:rPr>
              <w:t>%</w:t>
            </w:r>
          </w:p>
        </w:tc>
      </w:tr>
      <w:tr w:rsidR="00004A73" w:rsidTr="00810BC2">
        <w:trPr>
          <w:trHeight w:val="891"/>
        </w:trPr>
        <w:tc>
          <w:tcPr>
            <w:tcW w:w="3659" w:type="dxa"/>
          </w:tcPr>
          <w:p w:rsidR="00004A73" w:rsidRPr="00C64778" w:rsidRDefault="00004A73" w:rsidP="005B6AE2">
            <w:pPr>
              <w:spacing w:line="240" w:lineRule="auto"/>
              <w:jc w:val="center"/>
              <w:rPr>
                <w:rFonts w:ascii="Arial" w:hAnsi="Arial" w:cs="Arial"/>
                <w:sz w:val="24"/>
                <w:szCs w:val="24"/>
              </w:rPr>
            </w:pPr>
            <w:r w:rsidRPr="00C64778">
              <w:rPr>
                <w:rFonts w:ascii="Arial" w:hAnsi="Arial" w:cs="Arial"/>
                <w:sz w:val="24"/>
                <w:szCs w:val="24"/>
              </w:rPr>
              <w:t>Menopausia precoz</w:t>
            </w:r>
          </w:p>
          <w:p w:rsidR="00004A73" w:rsidRPr="00C64778" w:rsidRDefault="00004A73" w:rsidP="005B6AE2">
            <w:pPr>
              <w:spacing w:line="240" w:lineRule="auto"/>
              <w:jc w:val="center"/>
              <w:rPr>
                <w:rFonts w:ascii="Arial" w:hAnsi="Arial" w:cs="Arial"/>
                <w:sz w:val="24"/>
                <w:szCs w:val="24"/>
              </w:rPr>
            </w:pPr>
            <w:r w:rsidRPr="00C64778">
              <w:rPr>
                <w:rFonts w:ascii="Arial" w:hAnsi="Arial" w:cs="Arial"/>
                <w:sz w:val="24"/>
              </w:rPr>
              <w:t>(menos de 40 años)</w:t>
            </w:r>
          </w:p>
        </w:tc>
        <w:tc>
          <w:tcPr>
            <w:tcW w:w="964" w:type="dxa"/>
          </w:tcPr>
          <w:p w:rsidR="00004A73" w:rsidRDefault="00004A73" w:rsidP="005B6AE2">
            <w:pPr>
              <w:pStyle w:val="Default"/>
              <w:jc w:val="center"/>
              <w:rPr>
                <w:color w:val="auto"/>
              </w:rPr>
            </w:pPr>
            <w:r>
              <w:rPr>
                <w:color w:val="auto"/>
              </w:rPr>
              <w:t>2</w:t>
            </w:r>
          </w:p>
        </w:tc>
        <w:tc>
          <w:tcPr>
            <w:tcW w:w="1151" w:type="dxa"/>
          </w:tcPr>
          <w:p w:rsidR="00004A73" w:rsidRDefault="00004A73" w:rsidP="005B6AE2">
            <w:pPr>
              <w:pStyle w:val="Default"/>
              <w:jc w:val="center"/>
              <w:rPr>
                <w:color w:val="auto"/>
              </w:rPr>
            </w:pPr>
            <w:r>
              <w:rPr>
                <w:color w:val="auto"/>
              </w:rPr>
              <w:t>1,82 c</w:t>
            </w:r>
          </w:p>
        </w:tc>
      </w:tr>
      <w:tr w:rsidR="00004A73" w:rsidTr="00810BC2">
        <w:trPr>
          <w:trHeight w:val="875"/>
        </w:trPr>
        <w:tc>
          <w:tcPr>
            <w:tcW w:w="3659" w:type="dxa"/>
          </w:tcPr>
          <w:p w:rsidR="00004A73" w:rsidRPr="00C64778" w:rsidRDefault="00004A73" w:rsidP="005B6AE2">
            <w:pPr>
              <w:spacing w:line="240" w:lineRule="auto"/>
              <w:jc w:val="center"/>
              <w:rPr>
                <w:rFonts w:ascii="Arial" w:hAnsi="Arial" w:cs="Arial"/>
                <w:sz w:val="24"/>
                <w:szCs w:val="24"/>
              </w:rPr>
            </w:pPr>
            <w:r w:rsidRPr="00C64778">
              <w:rPr>
                <w:rFonts w:ascii="Arial" w:hAnsi="Arial" w:cs="Arial"/>
                <w:sz w:val="24"/>
                <w:szCs w:val="24"/>
              </w:rPr>
              <w:t>Menopausia natural</w:t>
            </w:r>
          </w:p>
          <w:p w:rsidR="00004A73" w:rsidRPr="00C64778" w:rsidRDefault="00004A73" w:rsidP="005B6AE2">
            <w:pPr>
              <w:spacing w:line="240" w:lineRule="auto"/>
              <w:jc w:val="center"/>
              <w:rPr>
                <w:rFonts w:ascii="Arial" w:hAnsi="Arial" w:cs="Arial"/>
                <w:b/>
                <w:sz w:val="24"/>
              </w:rPr>
            </w:pPr>
            <w:r w:rsidRPr="00C64778">
              <w:rPr>
                <w:rFonts w:ascii="Arial" w:hAnsi="Arial" w:cs="Arial"/>
                <w:sz w:val="24"/>
                <w:szCs w:val="24"/>
              </w:rPr>
              <w:t>(</w:t>
            </w:r>
            <w:r>
              <w:rPr>
                <w:rFonts w:ascii="Arial" w:hAnsi="Arial" w:cs="Arial"/>
                <w:sz w:val="24"/>
              </w:rPr>
              <w:t>40</w:t>
            </w:r>
            <w:r w:rsidRPr="00C64778">
              <w:rPr>
                <w:rFonts w:ascii="Arial" w:hAnsi="Arial" w:cs="Arial"/>
                <w:sz w:val="24"/>
              </w:rPr>
              <w:t>-55 años)</w:t>
            </w:r>
          </w:p>
        </w:tc>
        <w:tc>
          <w:tcPr>
            <w:tcW w:w="964" w:type="dxa"/>
          </w:tcPr>
          <w:p w:rsidR="00004A73" w:rsidRDefault="00004A73" w:rsidP="005B6AE2">
            <w:pPr>
              <w:pStyle w:val="Default"/>
              <w:jc w:val="center"/>
              <w:rPr>
                <w:color w:val="auto"/>
              </w:rPr>
            </w:pPr>
            <w:r>
              <w:rPr>
                <w:color w:val="auto"/>
              </w:rPr>
              <w:t>58</w:t>
            </w:r>
          </w:p>
        </w:tc>
        <w:tc>
          <w:tcPr>
            <w:tcW w:w="1151" w:type="dxa"/>
          </w:tcPr>
          <w:p w:rsidR="00004A73" w:rsidRDefault="00004A73" w:rsidP="005B6AE2">
            <w:pPr>
              <w:pStyle w:val="Default"/>
              <w:jc w:val="center"/>
              <w:rPr>
                <w:color w:val="auto"/>
              </w:rPr>
            </w:pPr>
            <w:r>
              <w:rPr>
                <w:color w:val="auto"/>
              </w:rPr>
              <w:t>52,73 a</w:t>
            </w:r>
          </w:p>
        </w:tc>
      </w:tr>
      <w:tr w:rsidR="00004A73" w:rsidTr="00810BC2">
        <w:trPr>
          <w:trHeight w:val="891"/>
        </w:trPr>
        <w:tc>
          <w:tcPr>
            <w:tcW w:w="3659" w:type="dxa"/>
          </w:tcPr>
          <w:p w:rsidR="00004A73" w:rsidRPr="00C64778" w:rsidRDefault="00004A73" w:rsidP="005B6AE2">
            <w:pPr>
              <w:pStyle w:val="Textoindependiente"/>
              <w:jc w:val="center"/>
            </w:pPr>
            <w:r w:rsidRPr="00C64778">
              <w:rPr>
                <w:rFonts w:ascii="Arial" w:hAnsi="Arial" w:cs="Arial"/>
                <w:b w:val="0"/>
                <w:sz w:val="24"/>
              </w:rPr>
              <w:t>Menopausia tardía</w:t>
            </w:r>
          </w:p>
          <w:p w:rsidR="00004A73" w:rsidRPr="00C64778" w:rsidRDefault="00004A73" w:rsidP="005B6AE2">
            <w:pPr>
              <w:pStyle w:val="Textoindependiente"/>
              <w:jc w:val="center"/>
              <w:rPr>
                <w:rFonts w:ascii="Arial" w:hAnsi="Arial" w:cs="Arial"/>
                <w:b w:val="0"/>
                <w:sz w:val="24"/>
                <w:lang w:eastAsia="en-US"/>
              </w:rPr>
            </w:pPr>
            <w:r w:rsidRPr="00C64778">
              <w:t>(</w:t>
            </w:r>
            <w:r w:rsidRPr="00C64778">
              <w:rPr>
                <w:rFonts w:ascii="Arial" w:hAnsi="Arial" w:cs="Arial"/>
                <w:b w:val="0"/>
                <w:sz w:val="24"/>
                <w:lang w:eastAsia="en-US"/>
              </w:rPr>
              <w:t>mayores de 55 años)</w:t>
            </w:r>
          </w:p>
        </w:tc>
        <w:tc>
          <w:tcPr>
            <w:tcW w:w="964" w:type="dxa"/>
          </w:tcPr>
          <w:p w:rsidR="00004A73" w:rsidRDefault="00004A73" w:rsidP="005B6AE2">
            <w:pPr>
              <w:pStyle w:val="Default"/>
              <w:jc w:val="center"/>
              <w:rPr>
                <w:color w:val="auto"/>
              </w:rPr>
            </w:pPr>
            <w:r>
              <w:rPr>
                <w:color w:val="auto"/>
              </w:rPr>
              <w:t>45</w:t>
            </w:r>
          </w:p>
        </w:tc>
        <w:tc>
          <w:tcPr>
            <w:tcW w:w="1151" w:type="dxa"/>
          </w:tcPr>
          <w:p w:rsidR="00004A73" w:rsidRDefault="00004A73" w:rsidP="005B6AE2">
            <w:pPr>
              <w:pStyle w:val="Default"/>
              <w:jc w:val="center"/>
              <w:rPr>
                <w:color w:val="auto"/>
              </w:rPr>
            </w:pPr>
            <w:r>
              <w:rPr>
                <w:color w:val="auto"/>
              </w:rPr>
              <w:t>40,91 b</w:t>
            </w:r>
          </w:p>
        </w:tc>
      </w:tr>
      <w:tr w:rsidR="00004A73" w:rsidTr="00810BC2">
        <w:trPr>
          <w:trHeight w:val="509"/>
        </w:trPr>
        <w:tc>
          <w:tcPr>
            <w:tcW w:w="3659" w:type="dxa"/>
          </w:tcPr>
          <w:p w:rsidR="00004A73" w:rsidRPr="00C64778" w:rsidRDefault="00004A73" w:rsidP="005B6AE2">
            <w:pPr>
              <w:pStyle w:val="Textoindependiente"/>
              <w:jc w:val="center"/>
              <w:rPr>
                <w:rFonts w:ascii="Arial" w:hAnsi="Arial" w:cs="Arial"/>
                <w:b w:val="0"/>
                <w:sz w:val="24"/>
              </w:rPr>
            </w:pPr>
            <w:r>
              <w:rPr>
                <w:rFonts w:ascii="Arial" w:hAnsi="Arial" w:cs="Arial"/>
                <w:b w:val="0"/>
                <w:sz w:val="24"/>
              </w:rPr>
              <w:t>Menopausia artificial</w:t>
            </w:r>
          </w:p>
        </w:tc>
        <w:tc>
          <w:tcPr>
            <w:tcW w:w="964" w:type="dxa"/>
          </w:tcPr>
          <w:p w:rsidR="00004A73" w:rsidRDefault="00004A73" w:rsidP="005B6AE2">
            <w:pPr>
              <w:pStyle w:val="Default"/>
              <w:jc w:val="center"/>
              <w:rPr>
                <w:color w:val="auto"/>
              </w:rPr>
            </w:pPr>
            <w:r>
              <w:rPr>
                <w:color w:val="auto"/>
              </w:rPr>
              <w:t>5</w:t>
            </w:r>
          </w:p>
        </w:tc>
        <w:tc>
          <w:tcPr>
            <w:tcW w:w="1151" w:type="dxa"/>
          </w:tcPr>
          <w:p w:rsidR="00004A73" w:rsidRDefault="00004A73" w:rsidP="005B6AE2">
            <w:pPr>
              <w:pStyle w:val="Default"/>
              <w:jc w:val="center"/>
              <w:rPr>
                <w:color w:val="auto"/>
              </w:rPr>
            </w:pPr>
            <w:r>
              <w:rPr>
                <w:color w:val="auto"/>
              </w:rPr>
              <w:t>4,55 c</w:t>
            </w:r>
          </w:p>
        </w:tc>
      </w:tr>
      <w:tr w:rsidR="00004A73" w:rsidTr="00810BC2">
        <w:trPr>
          <w:trHeight w:val="453"/>
        </w:trPr>
        <w:tc>
          <w:tcPr>
            <w:tcW w:w="3659" w:type="dxa"/>
          </w:tcPr>
          <w:p w:rsidR="00004A73" w:rsidRPr="00E007CF" w:rsidRDefault="00004A73" w:rsidP="005B6AE2">
            <w:pPr>
              <w:pStyle w:val="Default"/>
              <w:jc w:val="center"/>
              <w:rPr>
                <w:b/>
                <w:color w:val="auto"/>
              </w:rPr>
            </w:pPr>
            <w:r>
              <w:rPr>
                <w:b/>
                <w:color w:val="auto"/>
              </w:rPr>
              <w:t xml:space="preserve">EE y </w:t>
            </w:r>
            <w:proofErr w:type="spellStart"/>
            <w:r>
              <w:rPr>
                <w:b/>
                <w:color w:val="auto"/>
              </w:rPr>
              <w:t>Sign</w:t>
            </w:r>
            <w:proofErr w:type="spellEnd"/>
          </w:p>
        </w:tc>
        <w:tc>
          <w:tcPr>
            <w:tcW w:w="2115" w:type="dxa"/>
            <w:gridSpan w:val="2"/>
          </w:tcPr>
          <w:p w:rsidR="00004A73" w:rsidRPr="00E007CF" w:rsidRDefault="00004A73" w:rsidP="005B6AE2">
            <w:pPr>
              <w:pStyle w:val="Default"/>
              <w:jc w:val="center"/>
              <w:rPr>
                <w:b/>
                <w:color w:val="auto"/>
              </w:rPr>
            </w:pPr>
            <w:r>
              <w:rPr>
                <w:b/>
                <w:color w:val="auto"/>
              </w:rPr>
              <w:t>±4,13***</w:t>
            </w:r>
          </w:p>
        </w:tc>
      </w:tr>
      <w:tr w:rsidR="00004A73" w:rsidTr="00810BC2">
        <w:trPr>
          <w:trHeight w:val="453"/>
        </w:trPr>
        <w:tc>
          <w:tcPr>
            <w:tcW w:w="3659" w:type="dxa"/>
          </w:tcPr>
          <w:p w:rsidR="00004A73" w:rsidRPr="00E007CF" w:rsidRDefault="00004A73" w:rsidP="005B6AE2">
            <w:pPr>
              <w:pStyle w:val="Default"/>
              <w:jc w:val="center"/>
              <w:rPr>
                <w:b/>
                <w:color w:val="auto"/>
              </w:rPr>
            </w:pPr>
            <w:r w:rsidRPr="00E007CF">
              <w:rPr>
                <w:b/>
                <w:color w:val="auto"/>
              </w:rPr>
              <w:t>Total</w:t>
            </w:r>
          </w:p>
        </w:tc>
        <w:tc>
          <w:tcPr>
            <w:tcW w:w="964" w:type="dxa"/>
          </w:tcPr>
          <w:p w:rsidR="00004A73" w:rsidRPr="00E007CF" w:rsidRDefault="00004A73" w:rsidP="005B6AE2">
            <w:pPr>
              <w:pStyle w:val="Default"/>
              <w:jc w:val="center"/>
              <w:rPr>
                <w:b/>
                <w:color w:val="auto"/>
              </w:rPr>
            </w:pPr>
            <w:r>
              <w:rPr>
                <w:b/>
                <w:color w:val="auto"/>
              </w:rPr>
              <w:t>110</w:t>
            </w:r>
          </w:p>
        </w:tc>
        <w:tc>
          <w:tcPr>
            <w:tcW w:w="1151" w:type="dxa"/>
          </w:tcPr>
          <w:p w:rsidR="00004A73" w:rsidRPr="00E007CF" w:rsidRDefault="00004A73" w:rsidP="005B6AE2">
            <w:pPr>
              <w:pStyle w:val="Default"/>
              <w:jc w:val="center"/>
              <w:rPr>
                <w:b/>
                <w:color w:val="auto"/>
              </w:rPr>
            </w:pPr>
            <w:r>
              <w:rPr>
                <w:b/>
                <w:color w:val="auto"/>
              </w:rPr>
              <w:t>100</w:t>
            </w:r>
          </w:p>
        </w:tc>
      </w:tr>
    </w:tbl>
    <w:p w:rsidR="00004A73" w:rsidRDefault="00004A73" w:rsidP="005B6AE2">
      <w:pPr>
        <w:spacing w:line="240" w:lineRule="auto"/>
        <w:jc w:val="both"/>
        <w:rPr>
          <w:rFonts w:ascii="Arial" w:hAnsi="Arial" w:cs="Arial"/>
          <w:b/>
          <w:i/>
          <w:sz w:val="24"/>
          <w:szCs w:val="24"/>
          <w:u w:val="single"/>
        </w:rPr>
      </w:pPr>
    </w:p>
    <w:p w:rsidR="00004A73" w:rsidRDefault="00004A73" w:rsidP="005B6AE2">
      <w:pPr>
        <w:spacing w:line="240" w:lineRule="auto"/>
        <w:jc w:val="both"/>
        <w:rPr>
          <w:rFonts w:ascii="Arial" w:hAnsi="Arial" w:cs="Arial"/>
          <w:b/>
          <w:i/>
          <w:sz w:val="24"/>
          <w:szCs w:val="24"/>
          <w:u w:val="single"/>
        </w:rPr>
      </w:pPr>
    </w:p>
    <w:p w:rsidR="00004A73" w:rsidRDefault="00004A73" w:rsidP="005B6AE2">
      <w:pPr>
        <w:spacing w:line="240" w:lineRule="auto"/>
        <w:jc w:val="both"/>
        <w:rPr>
          <w:rFonts w:ascii="Arial" w:hAnsi="Arial" w:cs="Arial"/>
          <w:b/>
          <w:i/>
          <w:sz w:val="24"/>
          <w:szCs w:val="24"/>
          <w:u w:val="single"/>
        </w:rPr>
      </w:pPr>
    </w:p>
    <w:p w:rsidR="00004A73" w:rsidRDefault="00004A73" w:rsidP="005B6AE2">
      <w:pPr>
        <w:spacing w:line="240" w:lineRule="auto"/>
        <w:jc w:val="both"/>
        <w:rPr>
          <w:rFonts w:ascii="Arial" w:hAnsi="Arial" w:cs="Arial"/>
          <w:b/>
          <w:i/>
          <w:sz w:val="24"/>
          <w:szCs w:val="24"/>
          <w:u w:val="single"/>
        </w:rPr>
      </w:pPr>
    </w:p>
    <w:p w:rsidR="00004A73" w:rsidRDefault="00004A73" w:rsidP="005B6AE2">
      <w:pPr>
        <w:spacing w:line="240" w:lineRule="auto"/>
        <w:jc w:val="both"/>
        <w:rPr>
          <w:rFonts w:ascii="Arial" w:hAnsi="Arial" w:cs="Arial"/>
          <w:sz w:val="24"/>
          <w:szCs w:val="24"/>
        </w:rPr>
      </w:pPr>
    </w:p>
    <w:p w:rsidR="00004A73" w:rsidRDefault="00004A73" w:rsidP="005B6AE2">
      <w:pPr>
        <w:spacing w:line="240" w:lineRule="auto"/>
        <w:jc w:val="both"/>
        <w:rPr>
          <w:rFonts w:ascii="Arial" w:hAnsi="Arial" w:cs="Arial"/>
          <w:sz w:val="24"/>
          <w:szCs w:val="24"/>
        </w:rPr>
      </w:pPr>
    </w:p>
    <w:p w:rsidR="00004A73" w:rsidRDefault="00004A73" w:rsidP="005B6AE2">
      <w:pPr>
        <w:spacing w:line="240" w:lineRule="auto"/>
        <w:jc w:val="both"/>
        <w:rPr>
          <w:rFonts w:ascii="Arial" w:hAnsi="Arial" w:cs="Arial"/>
          <w:sz w:val="24"/>
          <w:szCs w:val="24"/>
        </w:rPr>
      </w:pPr>
    </w:p>
    <w:p w:rsidR="00004A73" w:rsidRDefault="00004A73" w:rsidP="005B6AE2">
      <w:pPr>
        <w:spacing w:line="240" w:lineRule="auto"/>
        <w:jc w:val="center"/>
        <w:rPr>
          <w:rFonts w:ascii="Arial" w:hAnsi="Arial" w:cs="Arial"/>
          <w:sz w:val="24"/>
          <w:szCs w:val="24"/>
        </w:rPr>
      </w:pPr>
    </w:p>
    <w:p w:rsidR="00004A73" w:rsidRDefault="00004A73" w:rsidP="005B6AE2">
      <w:pPr>
        <w:spacing w:after="0" w:line="240" w:lineRule="auto"/>
        <w:jc w:val="center"/>
        <w:rPr>
          <w:rFonts w:ascii="Arial" w:hAnsi="Arial" w:cs="Arial"/>
          <w:sz w:val="24"/>
          <w:szCs w:val="24"/>
        </w:rPr>
      </w:pPr>
    </w:p>
    <w:p w:rsidR="00004A73" w:rsidRDefault="00004A73" w:rsidP="005B6AE2">
      <w:pPr>
        <w:spacing w:after="0" w:line="240" w:lineRule="auto"/>
        <w:jc w:val="center"/>
        <w:rPr>
          <w:rFonts w:ascii="Arial" w:hAnsi="Arial" w:cs="Arial"/>
          <w:sz w:val="24"/>
          <w:szCs w:val="24"/>
        </w:rPr>
      </w:pPr>
    </w:p>
    <w:p w:rsidR="00004A73" w:rsidRDefault="00004A73" w:rsidP="005B6AE2">
      <w:pPr>
        <w:spacing w:after="0" w:line="240" w:lineRule="auto"/>
        <w:jc w:val="center"/>
        <w:rPr>
          <w:rFonts w:ascii="Arial" w:hAnsi="Arial" w:cs="Arial"/>
          <w:sz w:val="24"/>
          <w:szCs w:val="24"/>
        </w:rPr>
      </w:pPr>
    </w:p>
    <w:p w:rsidR="005B6AE2" w:rsidRDefault="005B6AE2" w:rsidP="005B6AE2">
      <w:pPr>
        <w:spacing w:after="0" w:line="240" w:lineRule="auto"/>
        <w:jc w:val="center"/>
        <w:rPr>
          <w:rFonts w:ascii="Arial" w:hAnsi="Arial" w:cs="Arial"/>
          <w:sz w:val="24"/>
          <w:szCs w:val="24"/>
        </w:rPr>
      </w:pPr>
    </w:p>
    <w:p w:rsidR="005B6AE2" w:rsidRDefault="005B6AE2" w:rsidP="005B6AE2">
      <w:pPr>
        <w:spacing w:after="0" w:line="240" w:lineRule="auto"/>
        <w:jc w:val="center"/>
        <w:rPr>
          <w:rFonts w:ascii="Arial" w:hAnsi="Arial" w:cs="Arial"/>
          <w:sz w:val="24"/>
          <w:szCs w:val="24"/>
        </w:rPr>
      </w:pPr>
    </w:p>
    <w:p w:rsidR="00004A73" w:rsidRDefault="00004A73" w:rsidP="005B6AE2">
      <w:pPr>
        <w:spacing w:after="0" w:line="240" w:lineRule="auto"/>
        <w:jc w:val="center"/>
        <w:rPr>
          <w:rFonts w:ascii="Arial" w:hAnsi="Arial" w:cs="Arial"/>
          <w:sz w:val="24"/>
          <w:szCs w:val="24"/>
        </w:rPr>
      </w:pPr>
      <w:r w:rsidRPr="00F34070">
        <w:rPr>
          <w:rFonts w:ascii="Arial" w:hAnsi="Arial" w:cs="Arial"/>
          <w:sz w:val="24"/>
          <w:szCs w:val="24"/>
        </w:rPr>
        <w:t>Fuente</w:t>
      </w:r>
      <w:r>
        <w:rPr>
          <w:rFonts w:ascii="Arial" w:hAnsi="Arial" w:cs="Arial"/>
          <w:sz w:val="24"/>
          <w:szCs w:val="24"/>
        </w:rPr>
        <w:t>: HSBF, ASS</w:t>
      </w:r>
    </w:p>
    <w:p w:rsidR="00004A73" w:rsidRPr="00652ED4" w:rsidRDefault="00004A73" w:rsidP="005B6AE2">
      <w:pPr>
        <w:pStyle w:val="Sinespaciado"/>
        <w:ind w:left="1418"/>
        <w:rPr>
          <w:rFonts w:ascii="Arial" w:hAnsi="Arial" w:cs="Arial"/>
          <w:sz w:val="24"/>
          <w:szCs w:val="24"/>
        </w:rPr>
      </w:pPr>
      <w:r w:rsidRPr="00652ED4">
        <w:rPr>
          <w:rFonts w:ascii="Arial" w:hAnsi="Arial" w:cs="Arial"/>
          <w:sz w:val="24"/>
          <w:szCs w:val="24"/>
        </w:rPr>
        <w:t>EE: Error estándar</w:t>
      </w:r>
    </w:p>
    <w:p w:rsidR="00004A73" w:rsidRPr="00652ED4" w:rsidRDefault="00004A73" w:rsidP="005B6AE2">
      <w:pPr>
        <w:pStyle w:val="Sinespaciado"/>
        <w:ind w:left="1418"/>
        <w:rPr>
          <w:rFonts w:ascii="Arial" w:hAnsi="Arial" w:cs="Arial"/>
          <w:sz w:val="24"/>
          <w:szCs w:val="24"/>
        </w:rPr>
      </w:pPr>
      <w:proofErr w:type="spellStart"/>
      <w:r w:rsidRPr="00652ED4">
        <w:rPr>
          <w:rFonts w:ascii="Arial" w:hAnsi="Arial" w:cs="Arial"/>
          <w:sz w:val="24"/>
          <w:szCs w:val="24"/>
        </w:rPr>
        <w:t>Sign</w:t>
      </w:r>
      <w:proofErr w:type="spellEnd"/>
      <w:r w:rsidRPr="00652ED4">
        <w:rPr>
          <w:rFonts w:ascii="Arial" w:hAnsi="Arial" w:cs="Arial"/>
          <w:sz w:val="24"/>
          <w:szCs w:val="24"/>
        </w:rPr>
        <w:t xml:space="preserve">: Significación estadística </w:t>
      </w:r>
    </w:p>
    <w:p w:rsidR="00004A73" w:rsidRPr="00652ED4" w:rsidRDefault="00004A73" w:rsidP="005B6AE2">
      <w:pPr>
        <w:pStyle w:val="Sinespaciado"/>
        <w:ind w:left="1418"/>
        <w:rPr>
          <w:rFonts w:ascii="Arial" w:hAnsi="Arial" w:cs="Arial"/>
          <w:sz w:val="24"/>
          <w:szCs w:val="24"/>
        </w:rPr>
      </w:pPr>
      <w:r w:rsidRPr="00652ED4">
        <w:rPr>
          <w:rFonts w:ascii="Arial" w:hAnsi="Arial" w:cs="Arial"/>
          <w:sz w:val="24"/>
          <w:szCs w:val="24"/>
        </w:rPr>
        <w:t>***P&lt;0,0</w:t>
      </w:r>
      <w:r>
        <w:rPr>
          <w:rFonts w:ascii="Arial" w:hAnsi="Arial" w:cs="Arial"/>
          <w:sz w:val="24"/>
          <w:szCs w:val="24"/>
        </w:rPr>
        <w:t>0</w:t>
      </w:r>
      <w:r w:rsidRPr="00652ED4">
        <w:rPr>
          <w:rFonts w:ascii="Arial" w:hAnsi="Arial" w:cs="Arial"/>
          <w:sz w:val="24"/>
          <w:szCs w:val="24"/>
        </w:rPr>
        <w:t>1</w:t>
      </w:r>
    </w:p>
    <w:p w:rsidR="00004A73" w:rsidRPr="00652ED4" w:rsidRDefault="00004A73" w:rsidP="005B6AE2">
      <w:pPr>
        <w:spacing w:after="0" w:line="240" w:lineRule="auto"/>
        <w:ind w:left="1418"/>
        <w:rPr>
          <w:rFonts w:ascii="Arial" w:hAnsi="Arial" w:cs="Arial"/>
          <w:sz w:val="24"/>
          <w:szCs w:val="24"/>
        </w:rPr>
      </w:pPr>
      <w:r w:rsidRPr="00652ED4">
        <w:rPr>
          <w:rFonts w:ascii="Arial" w:hAnsi="Arial" w:cs="Arial"/>
          <w:sz w:val="24"/>
          <w:szCs w:val="24"/>
        </w:rPr>
        <w:t xml:space="preserve">a, </w:t>
      </w:r>
      <w:proofErr w:type="spellStart"/>
      <w:r w:rsidRPr="00652ED4">
        <w:rPr>
          <w:rFonts w:ascii="Arial" w:hAnsi="Arial" w:cs="Arial"/>
          <w:sz w:val="24"/>
          <w:szCs w:val="24"/>
        </w:rPr>
        <w:t>bSuperíndices</w:t>
      </w:r>
      <w:proofErr w:type="spellEnd"/>
      <w:r w:rsidRPr="00652ED4">
        <w:rPr>
          <w:rFonts w:ascii="Arial" w:hAnsi="Arial" w:cs="Arial"/>
          <w:sz w:val="24"/>
          <w:szCs w:val="24"/>
        </w:rPr>
        <w:t xml:space="preserve"> diferentes indican diferencias significativas según Duncan (1955)</w:t>
      </w:r>
    </w:p>
    <w:p w:rsidR="00004A73" w:rsidRDefault="00004A73" w:rsidP="005B6AE2">
      <w:pPr>
        <w:spacing w:line="240" w:lineRule="auto"/>
        <w:jc w:val="both"/>
        <w:rPr>
          <w:rFonts w:ascii="Arial" w:hAnsi="Arial" w:cs="Arial"/>
          <w:sz w:val="24"/>
          <w:szCs w:val="24"/>
        </w:rPr>
      </w:pPr>
    </w:p>
    <w:p w:rsidR="00004A73" w:rsidRDefault="00004A73" w:rsidP="005B6AE2">
      <w:pPr>
        <w:spacing w:line="240" w:lineRule="auto"/>
        <w:jc w:val="both"/>
        <w:rPr>
          <w:rFonts w:ascii="Arial" w:hAnsi="Arial" w:cs="Arial"/>
          <w:sz w:val="24"/>
          <w:szCs w:val="24"/>
        </w:rPr>
      </w:pPr>
      <w:r>
        <w:rPr>
          <w:rFonts w:ascii="Arial" w:hAnsi="Arial" w:cs="Arial"/>
          <w:sz w:val="24"/>
          <w:szCs w:val="24"/>
        </w:rPr>
        <w:t>L</w:t>
      </w:r>
      <w:r w:rsidRPr="00302C96">
        <w:rPr>
          <w:rFonts w:ascii="Arial" w:hAnsi="Arial" w:cs="Arial"/>
          <w:sz w:val="24"/>
          <w:szCs w:val="24"/>
        </w:rPr>
        <w:t xml:space="preserve">as enfermedades y/o manifestaciones clínicas bucales </w:t>
      </w:r>
      <w:r>
        <w:rPr>
          <w:rFonts w:ascii="Arial" w:hAnsi="Arial" w:cs="Arial"/>
          <w:sz w:val="24"/>
          <w:szCs w:val="24"/>
        </w:rPr>
        <w:t>que prevalecieron fueron</w:t>
      </w:r>
      <w:r w:rsidRPr="00302C96">
        <w:rPr>
          <w:rFonts w:ascii="Arial" w:hAnsi="Arial" w:cs="Arial"/>
          <w:sz w:val="24"/>
          <w:szCs w:val="24"/>
        </w:rPr>
        <w:t xml:space="preserve"> la enfermedad periodonta</w:t>
      </w:r>
      <w:r>
        <w:rPr>
          <w:rFonts w:ascii="Arial" w:hAnsi="Arial" w:cs="Arial"/>
          <w:sz w:val="24"/>
          <w:szCs w:val="24"/>
        </w:rPr>
        <w:t xml:space="preserve">l, el ardor bucal y la </w:t>
      </w:r>
      <w:r w:rsidRPr="0085198E">
        <w:rPr>
          <w:rFonts w:ascii="Arial" w:hAnsi="Arial" w:cs="Arial"/>
          <w:sz w:val="24"/>
          <w:szCs w:val="24"/>
        </w:rPr>
        <w:t>xerostomía</w:t>
      </w:r>
      <w:r>
        <w:rPr>
          <w:rFonts w:ascii="Arial" w:hAnsi="Arial" w:cs="Arial"/>
          <w:sz w:val="24"/>
          <w:szCs w:val="24"/>
        </w:rPr>
        <w:t xml:space="preserve"> con un 72,73%, 66,36% y 63,64% respectivamente, existiendo diferencias significativas con respecto a las demás; </w:t>
      </w:r>
      <w:r w:rsidRPr="00302C96">
        <w:rPr>
          <w:rFonts w:ascii="Arial" w:hAnsi="Arial" w:cs="Arial"/>
          <w:sz w:val="24"/>
          <w:szCs w:val="24"/>
        </w:rPr>
        <w:t>las lesiones eritematosas y blanquecinas obtuv</w:t>
      </w:r>
      <w:r>
        <w:rPr>
          <w:rFonts w:ascii="Arial" w:hAnsi="Arial" w:cs="Arial"/>
          <w:sz w:val="24"/>
          <w:szCs w:val="24"/>
        </w:rPr>
        <w:t>ieron la menor cifra con un 7,27</w:t>
      </w:r>
      <w:r w:rsidRPr="00302C96">
        <w:rPr>
          <w:rFonts w:ascii="Arial" w:hAnsi="Arial" w:cs="Arial"/>
          <w:sz w:val="24"/>
          <w:szCs w:val="24"/>
        </w:rPr>
        <w:t>%</w:t>
      </w:r>
      <w:r>
        <w:rPr>
          <w:rFonts w:ascii="Arial" w:hAnsi="Arial" w:cs="Arial"/>
          <w:sz w:val="24"/>
          <w:szCs w:val="24"/>
        </w:rPr>
        <w:t xml:space="preserve">, tabla2. </w:t>
      </w:r>
    </w:p>
    <w:p w:rsidR="00004A73" w:rsidRDefault="00004A73" w:rsidP="005B6AE2">
      <w:pPr>
        <w:pStyle w:val="Default"/>
        <w:jc w:val="both"/>
        <w:rPr>
          <w:color w:val="auto"/>
        </w:rPr>
      </w:pPr>
      <w:r>
        <w:rPr>
          <w:b/>
          <w:color w:val="auto"/>
        </w:rPr>
        <w:t xml:space="preserve">Tabla </w:t>
      </w:r>
      <w:r w:rsidRPr="00E36026">
        <w:rPr>
          <w:color w:val="auto"/>
        </w:rPr>
        <w:t>2</w:t>
      </w:r>
      <w:r>
        <w:rPr>
          <w:color w:val="auto"/>
        </w:rPr>
        <w:t>: Enfermedades y/o manifestaciones clínicas bucales en mujeres en etapa menopáusica, Güines 2018-2020.</w:t>
      </w:r>
    </w:p>
    <w:p w:rsidR="00004A73" w:rsidRPr="00E525EC" w:rsidRDefault="00004A73" w:rsidP="005B6AE2">
      <w:pPr>
        <w:pStyle w:val="Default"/>
        <w:jc w:val="both"/>
        <w:rPr>
          <w:color w:val="auto"/>
        </w:rPr>
      </w:pPr>
    </w:p>
    <w:tbl>
      <w:tblPr>
        <w:tblStyle w:val="Tablaconcuadrcula"/>
        <w:tblW w:w="0" w:type="auto"/>
        <w:jc w:val="center"/>
        <w:tblLook w:val="04A0" w:firstRow="1" w:lastRow="0" w:firstColumn="1" w:lastColumn="0" w:noHBand="0" w:noVBand="1"/>
      </w:tblPr>
      <w:tblGrid>
        <w:gridCol w:w="3607"/>
        <w:gridCol w:w="1096"/>
        <w:gridCol w:w="1284"/>
      </w:tblGrid>
      <w:tr w:rsidR="00004A73" w:rsidRPr="00562761" w:rsidTr="00810BC2">
        <w:trPr>
          <w:jc w:val="center"/>
        </w:trPr>
        <w:tc>
          <w:tcPr>
            <w:tcW w:w="3607" w:type="dxa"/>
            <w:vAlign w:val="bottom"/>
          </w:tcPr>
          <w:p w:rsidR="00004A73" w:rsidRPr="00A1228C" w:rsidRDefault="00004A73" w:rsidP="005B6AE2">
            <w:pPr>
              <w:pStyle w:val="Default"/>
              <w:jc w:val="center"/>
              <w:rPr>
                <w:b/>
                <w:color w:val="auto"/>
              </w:rPr>
            </w:pPr>
            <w:r w:rsidRPr="00A1228C">
              <w:rPr>
                <w:b/>
                <w:color w:val="auto"/>
              </w:rPr>
              <w:t>Enfermedades y/o manifestaciones  clínicas bucales</w:t>
            </w:r>
          </w:p>
        </w:tc>
        <w:tc>
          <w:tcPr>
            <w:tcW w:w="1096" w:type="dxa"/>
            <w:vAlign w:val="bottom"/>
          </w:tcPr>
          <w:p w:rsidR="00004A73" w:rsidRPr="00A1228C" w:rsidRDefault="00004A73" w:rsidP="005B6AE2">
            <w:pPr>
              <w:pStyle w:val="Default"/>
              <w:jc w:val="center"/>
              <w:rPr>
                <w:b/>
                <w:color w:val="auto"/>
              </w:rPr>
            </w:pPr>
            <w:r w:rsidRPr="00A1228C">
              <w:rPr>
                <w:b/>
                <w:color w:val="auto"/>
              </w:rPr>
              <w:t>No</w:t>
            </w:r>
          </w:p>
        </w:tc>
        <w:tc>
          <w:tcPr>
            <w:tcW w:w="1284" w:type="dxa"/>
            <w:vAlign w:val="bottom"/>
          </w:tcPr>
          <w:p w:rsidR="00004A73" w:rsidRPr="00A1228C" w:rsidRDefault="00004A73" w:rsidP="005B6AE2">
            <w:pPr>
              <w:pStyle w:val="Default"/>
              <w:jc w:val="center"/>
              <w:rPr>
                <w:b/>
                <w:color w:val="auto"/>
              </w:rPr>
            </w:pPr>
            <w:r w:rsidRPr="00A1228C">
              <w:rPr>
                <w:b/>
                <w:color w:val="auto"/>
              </w:rPr>
              <w:t>%</w:t>
            </w:r>
          </w:p>
        </w:tc>
      </w:tr>
      <w:tr w:rsidR="00004A73" w:rsidRPr="00FA2AB7" w:rsidTr="00810BC2">
        <w:trPr>
          <w:jc w:val="center"/>
        </w:trPr>
        <w:tc>
          <w:tcPr>
            <w:tcW w:w="3607" w:type="dxa"/>
            <w:vAlign w:val="bottom"/>
          </w:tcPr>
          <w:p w:rsidR="00004A73" w:rsidRPr="00FA2AB7" w:rsidRDefault="00004A73" w:rsidP="005B6AE2">
            <w:pPr>
              <w:pStyle w:val="Default"/>
              <w:jc w:val="center"/>
              <w:rPr>
                <w:color w:val="auto"/>
              </w:rPr>
            </w:pPr>
            <w:r w:rsidRPr="00FA2AB7">
              <w:rPr>
                <w:color w:val="auto"/>
              </w:rPr>
              <w:t>Enfermedad Periodontal</w:t>
            </w:r>
          </w:p>
        </w:tc>
        <w:tc>
          <w:tcPr>
            <w:tcW w:w="1096" w:type="dxa"/>
            <w:vAlign w:val="bottom"/>
          </w:tcPr>
          <w:p w:rsidR="00004A73" w:rsidRPr="00FA2AB7" w:rsidRDefault="00004A73" w:rsidP="005B6AE2">
            <w:pPr>
              <w:pStyle w:val="Default"/>
              <w:jc w:val="center"/>
              <w:rPr>
                <w:color w:val="auto"/>
              </w:rPr>
            </w:pPr>
            <w:r w:rsidRPr="00FA2AB7">
              <w:rPr>
                <w:color w:val="auto"/>
              </w:rPr>
              <w:t>80</w:t>
            </w:r>
          </w:p>
        </w:tc>
        <w:tc>
          <w:tcPr>
            <w:tcW w:w="1284" w:type="dxa"/>
            <w:vAlign w:val="bottom"/>
          </w:tcPr>
          <w:p w:rsidR="00004A73" w:rsidRPr="00FA2AB7" w:rsidRDefault="00004A73" w:rsidP="005B6AE2">
            <w:pPr>
              <w:pStyle w:val="Default"/>
              <w:jc w:val="center"/>
              <w:rPr>
                <w:color w:val="auto"/>
              </w:rPr>
            </w:pPr>
            <w:r w:rsidRPr="00FA2AB7">
              <w:rPr>
                <w:color w:val="auto"/>
              </w:rPr>
              <w:t>72,73 a</w:t>
            </w:r>
          </w:p>
        </w:tc>
      </w:tr>
      <w:tr w:rsidR="00004A73" w:rsidRPr="00FA2AB7" w:rsidTr="00810BC2">
        <w:trPr>
          <w:jc w:val="center"/>
        </w:trPr>
        <w:tc>
          <w:tcPr>
            <w:tcW w:w="3607" w:type="dxa"/>
            <w:vAlign w:val="bottom"/>
          </w:tcPr>
          <w:p w:rsidR="00004A73" w:rsidRPr="00FA2AB7" w:rsidRDefault="00004A73" w:rsidP="005B6AE2">
            <w:pPr>
              <w:pStyle w:val="Default"/>
              <w:jc w:val="center"/>
              <w:rPr>
                <w:color w:val="auto"/>
              </w:rPr>
            </w:pPr>
            <w:r w:rsidRPr="00FA2AB7">
              <w:rPr>
                <w:color w:val="auto"/>
              </w:rPr>
              <w:t>Bruxismo</w:t>
            </w:r>
          </w:p>
        </w:tc>
        <w:tc>
          <w:tcPr>
            <w:tcW w:w="1096" w:type="dxa"/>
            <w:vAlign w:val="bottom"/>
          </w:tcPr>
          <w:p w:rsidR="00004A73" w:rsidRPr="00FA2AB7" w:rsidRDefault="00004A73" w:rsidP="005B6AE2">
            <w:pPr>
              <w:pStyle w:val="Default"/>
              <w:jc w:val="center"/>
              <w:rPr>
                <w:color w:val="auto"/>
              </w:rPr>
            </w:pPr>
            <w:r w:rsidRPr="00FA2AB7">
              <w:rPr>
                <w:color w:val="auto"/>
              </w:rPr>
              <w:t>64</w:t>
            </w:r>
          </w:p>
        </w:tc>
        <w:tc>
          <w:tcPr>
            <w:tcW w:w="1284" w:type="dxa"/>
            <w:vAlign w:val="bottom"/>
          </w:tcPr>
          <w:p w:rsidR="00004A73" w:rsidRPr="00FA2AB7" w:rsidRDefault="00004A73" w:rsidP="005B6AE2">
            <w:pPr>
              <w:pStyle w:val="Default"/>
              <w:jc w:val="center"/>
              <w:rPr>
                <w:color w:val="auto"/>
              </w:rPr>
            </w:pPr>
            <w:r w:rsidRPr="00FA2AB7">
              <w:rPr>
                <w:color w:val="auto"/>
              </w:rPr>
              <w:t>58,18 b</w:t>
            </w:r>
          </w:p>
        </w:tc>
      </w:tr>
      <w:tr w:rsidR="00004A73" w:rsidRPr="00FA2AB7" w:rsidTr="00810BC2">
        <w:trPr>
          <w:jc w:val="center"/>
        </w:trPr>
        <w:tc>
          <w:tcPr>
            <w:tcW w:w="3607" w:type="dxa"/>
            <w:vAlign w:val="bottom"/>
          </w:tcPr>
          <w:p w:rsidR="00004A73" w:rsidRPr="00FA2AB7" w:rsidRDefault="00004A73" w:rsidP="005B6AE2">
            <w:pPr>
              <w:pStyle w:val="Default"/>
              <w:jc w:val="center"/>
              <w:rPr>
                <w:color w:val="auto"/>
              </w:rPr>
            </w:pPr>
            <w:r w:rsidRPr="00FA2AB7">
              <w:rPr>
                <w:color w:val="auto"/>
              </w:rPr>
              <w:t>Ardor bucal</w:t>
            </w:r>
          </w:p>
        </w:tc>
        <w:tc>
          <w:tcPr>
            <w:tcW w:w="1096" w:type="dxa"/>
            <w:vAlign w:val="bottom"/>
          </w:tcPr>
          <w:p w:rsidR="00004A73" w:rsidRPr="00FA2AB7" w:rsidRDefault="00004A73" w:rsidP="005B6AE2">
            <w:pPr>
              <w:pStyle w:val="Default"/>
              <w:jc w:val="center"/>
              <w:rPr>
                <w:color w:val="auto"/>
              </w:rPr>
            </w:pPr>
            <w:r w:rsidRPr="00FA2AB7">
              <w:rPr>
                <w:color w:val="auto"/>
              </w:rPr>
              <w:t>73</w:t>
            </w:r>
          </w:p>
        </w:tc>
        <w:tc>
          <w:tcPr>
            <w:tcW w:w="1284" w:type="dxa"/>
            <w:vAlign w:val="bottom"/>
          </w:tcPr>
          <w:p w:rsidR="00004A73" w:rsidRPr="00FA2AB7" w:rsidRDefault="00004A73" w:rsidP="005B6AE2">
            <w:pPr>
              <w:pStyle w:val="Default"/>
              <w:jc w:val="center"/>
              <w:rPr>
                <w:color w:val="auto"/>
              </w:rPr>
            </w:pPr>
            <w:r w:rsidRPr="00FA2AB7">
              <w:rPr>
                <w:color w:val="auto"/>
              </w:rPr>
              <w:t>66,36 a</w:t>
            </w:r>
          </w:p>
        </w:tc>
      </w:tr>
      <w:tr w:rsidR="00004A73" w:rsidRPr="00E36026" w:rsidTr="00810BC2">
        <w:trPr>
          <w:jc w:val="center"/>
        </w:trPr>
        <w:tc>
          <w:tcPr>
            <w:tcW w:w="3607" w:type="dxa"/>
            <w:vAlign w:val="bottom"/>
          </w:tcPr>
          <w:p w:rsidR="00004A73" w:rsidRPr="00E36026" w:rsidRDefault="00004A73" w:rsidP="005B6AE2">
            <w:pPr>
              <w:pStyle w:val="Default"/>
              <w:jc w:val="center"/>
              <w:rPr>
                <w:color w:val="auto"/>
              </w:rPr>
            </w:pPr>
            <w:r w:rsidRPr="00E36026">
              <w:rPr>
                <w:color w:val="auto"/>
              </w:rPr>
              <w:t>Xerostomía</w:t>
            </w:r>
          </w:p>
        </w:tc>
        <w:tc>
          <w:tcPr>
            <w:tcW w:w="1096" w:type="dxa"/>
            <w:vAlign w:val="bottom"/>
          </w:tcPr>
          <w:p w:rsidR="00004A73" w:rsidRPr="00E36026" w:rsidRDefault="00004A73" w:rsidP="005B6AE2">
            <w:pPr>
              <w:pStyle w:val="Default"/>
              <w:jc w:val="center"/>
              <w:rPr>
                <w:color w:val="auto"/>
              </w:rPr>
            </w:pPr>
            <w:r>
              <w:rPr>
                <w:color w:val="auto"/>
              </w:rPr>
              <w:t>70</w:t>
            </w:r>
          </w:p>
        </w:tc>
        <w:tc>
          <w:tcPr>
            <w:tcW w:w="1284" w:type="dxa"/>
            <w:vAlign w:val="bottom"/>
          </w:tcPr>
          <w:p w:rsidR="00004A73" w:rsidRPr="00E36026" w:rsidRDefault="00004A73" w:rsidP="005B6AE2">
            <w:pPr>
              <w:pStyle w:val="Default"/>
              <w:jc w:val="center"/>
              <w:rPr>
                <w:color w:val="auto"/>
              </w:rPr>
            </w:pPr>
            <w:r>
              <w:rPr>
                <w:color w:val="auto"/>
              </w:rPr>
              <w:t xml:space="preserve">  63,64 ab</w:t>
            </w:r>
          </w:p>
        </w:tc>
      </w:tr>
      <w:tr w:rsidR="00004A73" w:rsidRPr="00E36026" w:rsidTr="00810BC2">
        <w:trPr>
          <w:jc w:val="center"/>
        </w:trPr>
        <w:tc>
          <w:tcPr>
            <w:tcW w:w="3607" w:type="dxa"/>
            <w:vAlign w:val="bottom"/>
          </w:tcPr>
          <w:p w:rsidR="00004A73" w:rsidRPr="00E36026" w:rsidRDefault="00004A73" w:rsidP="005B6AE2">
            <w:pPr>
              <w:pStyle w:val="Default"/>
              <w:jc w:val="center"/>
              <w:rPr>
                <w:color w:val="auto"/>
              </w:rPr>
            </w:pPr>
            <w:r>
              <w:rPr>
                <w:color w:val="auto"/>
              </w:rPr>
              <w:t>Disgeusia (alteració</w:t>
            </w:r>
            <w:r w:rsidRPr="00E36026">
              <w:rPr>
                <w:color w:val="auto"/>
              </w:rPr>
              <w:t>n del gusto</w:t>
            </w:r>
            <w:r>
              <w:rPr>
                <w:color w:val="auto"/>
              </w:rPr>
              <w:t>)</w:t>
            </w:r>
          </w:p>
        </w:tc>
        <w:tc>
          <w:tcPr>
            <w:tcW w:w="1096" w:type="dxa"/>
            <w:vAlign w:val="bottom"/>
          </w:tcPr>
          <w:p w:rsidR="00004A73" w:rsidRPr="00E36026" w:rsidRDefault="00004A73" w:rsidP="005B6AE2">
            <w:pPr>
              <w:pStyle w:val="Default"/>
              <w:jc w:val="center"/>
              <w:rPr>
                <w:color w:val="auto"/>
              </w:rPr>
            </w:pPr>
            <w:r>
              <w:rPr>
                <w:color w:val="auto"/>
              </w:rPr>
              <w:t>23</w:t>
            </w:r>
          </w:p>
        </w:tc>
        <w:tc>
          <w:tcPr>
            <w:tcW w:w="1284" w:type="dxa"/>
            <w:vAlign w:val="bottom"/>
          </w:tcPr>
          <w:p w:rsidR="00004A73" w:rsidRPr="00E36026" w:rsidRDefault="00004A73" w:rsidP="005B6AE2">
            <w:pPr>
              <w:pStyle w:val="Default"/>
              <w:jc w:val="center"/>
              <w:rPr>
                <w:color w:val="auto"/>
              </w:rPr>
            </w:pPr>
            <w:r>
              <w:rPr>
                <w:color w:val="auto"/>
              </w:rPr>
              <w:t>20,91 c</w:t>
            </w:r>
          </w:p>
        </w:tc>
      </w:tr>
      <w:tr w:rsidR="00004A73" w:rsidRPr="00E36026" w:rsidTr="00810BC2">
        <w:trPr>
          <w:jc w:val="center"/>
        </w:trPr>
        <w:tc>
          <w:tcPr>
            <w:tcW w:w="3607" w:type="dxa"/>
            <w:vAlign w:val="bottom"/>
          </w:tcPr>
          <w:p w:rsidR="00004A73" w:rsidRPr="00E36026" w:rsidRDefault="00004A73" w:rsidP="005B6AE2">
            <w:pPr>
              <w:pStyle w:val="Default"/>
              <w:jc w:val="center"/>
              <w:rPr>
                <w:color w:val="auto"/>
              </w:rPr>
            </w:pPr>
            <w:r w:rsidRPr="00E36026">
              <w:rPr>
                <w:color w:val="auto"/>
              </w:rPr>
              <w:t>Dolor ATM</w:t>
            </w:r>
          </w:p>
        </w:tc>
        <w:tc>
          <w:tcPr>
            <w:tcW w:w="1096" w:type="dxa"/>
            <w:vAlign w:val="bottom"/>
          </w:tcPr>
          <w:p w:rsidR="00004A73" w:rsidRPr="00E36026" w:rsidRDefault="00004A73" w:rsidP="005B6AE2">
            <w:pPr>
              <w:pStyle w:val="Default"/>
              <w:jc w:val="center"/>
              <w:rPr>
                <w:color w:val="auto"/>
              </w:rPr>
            </w:pPr>
            <w:r>
              <w:rPr>
                <w:color w:val="auto"/>
              </w:rPr>
              <w:t>45</w:t>
            </w:r>
          </w:p>
        </w:tc>
        <w:tc>
          <w:tcPr>
            <w:tcW w:w="1284" w:type="dxa"/>
            <w:vAlign w:val="bottom"/>
          </w:tcPr>
          <w:p w:rsidR="00004A73" w:rsidRPr="00E36026" w:rsidRDefault="00004A73" w:rsidP="005B6AE2">
            <w:pPr>
              <w:pStyle w:val="Default"/>
              <w:jc w:val="center"/>
              <w:rPr>
                <w:color w:val="auto"/>
              </w:rPr>
            </w:pPr>
            <w:r>
              <w:rPr>
                <w:color w:val="auto"/>
              </w:rPr>
              <w:t>40,91 b</w:t>
            </w:r>
          </w:p>
        </w:tc>
      </w:tr>
      <w:tr w:rsidR="00004A73" w:rsidRPr="00E36026" w:rsidTr="00810BC2">
        <w:trPr>
          <w:trHeight w:val="772"/>
          <w:jc w:val="center"/>
        </w:trPr>
        <w:tc>
          <w:tcPr>
            <w:tcW w:w="3607" w:type="dxa"/>
            <w:vAlign w:val="bottom"/>
          </w:tcPr>
          <w:p w:rsidR="00004A73" w:rsidRPr="00E36026" w:rsidRDefault="00004A73"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 xml:space="preserve">Reabsorción del reborde </w:t>
            </w:r>
            <w:r w:rsidRPr="00E36026">
              <w:rPr>
                <w:rFonts w:ascii="Arial" w:hAnsi="Arial" w:cs="Arial"/>
                <w:color w:val="000000"/>
                <w:sz w:val="24"/>
                <w:szCs w:val="24"/>
              </w:rPr>
              <w:t>residual</w:t>
            </w:r>
          </w:p>
        </w:tc>
        <w:tc>
          <w:tcPr>
            <w:tcW w:w="1096" w:type="dxa"/>
            <w:vAlign w:val="bottom"/>
          </w:tcPr>
          <w:p w:rsidR="00004A73" w:rsidRPr="00E36026" w:rsidRDefault="00004A73"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30</w:t>
            </w:r>
          </w:p>
        </w:tc>
        <w:tc>
          <w:tcPr>
            <w:tcW w:w="1284" w:type="dxa"/>
            <w:vAlign w:val="bottom"/>
          </w:tcPr>
          <w:p w:rsidR="00004A73" w:rsidRPr="00E36026" w:rsidRDefault="00004A73"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27,27 c</w:t>
            </w:r>
          </w:p>
        </w:tc>
      </w:tr>
      <w:tr w:rsidR="00004A73" w:rsidRPr="00E36026" w:rsidTr="00810BC2">
        <w:trPr>
          <w:jc w:val="center"/>
        </w:trPr>
        <w:tc>
          <w:tcPr>
            <w:tcW w:w="3607" w:type="dxa"/>
            <w:vAlign w:val="bottom"/>
          </w:tcPr>
          <w:p w:rsidR="00004A73" w:rsidRPr="00E36026" w:rsidRDefault="00004A73"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sz w:val="24"/>
                <w:szCs w:val="24"/>
              </w:rPr>
              <w:t>Lesiones eritematosas y blanquecinas</w:t>
            </w:r>
          </w:p>
        </w:tc>
        <w:tc>
          <w:tcPr>
            <w:tcW w:w="1096" w:type="dxa"/>
            <w:vAlign w:val="bottom"/>
          </w:tcPr>
          <w:p w:rsidR="00004A73" w:rsidRPr="00E36026" w:rsidRDefault="00004A73"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8</w:t>
            </w:r>
          </w:p>
        </w:tc>
        <w:tc>
          <w:tcPr>
            <w:tcW w:w="1284" w:type="dxa"/>
            <w:vAlign w:val="bottom"/>
          </w:tcPr>
          <w:p w:rsidR="00004A73" w:rsidRPr="00E36026" w:rsidRDefault="00004A73"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7,27 d</w:t>
            </w:r>
          </w:p>
        </w:tc>
      </w:tr>
      <w:tr w:rsidR="00004A73" w:rsidRPr="00E36026" w:rsidTr="00810BC2">
        <w:trPr>
          <w:jc w:val="center"/>
        </w:trPr>
        <w:tc>
          <w:tcPr>
            <w:tcW w:w="3607" w:type="dxa"/>
            <w:vAlign w:val="bottom"/>
          </w:tcPr>
          <w:p w:rsidR="00004A73" w:rsidRPr="00E007CF" w:rsidRDefault="00004A73" w:rsidP="005B6AE2">
            <w:pPr>
              <w:pStyle w:val="Default"/>
              <w:jc w:val="center"/>
              <w:rPr>
                <w:b/>
                <w:color w:val="auto"/>
              </w:rPr>
            </w:pPr>
            <w:r>
              <w:rPr>
                <w:b/>
                <w:color w:val="auto"/>
              </w:rPr>
              <w:t xml:space="preserve">EE y </w:t>
            </w:r>
            <w:proofErr w:type="spellStart"/>
            <w:r>
              <w:rPr>
                <w:b/>
                <w:color w:val="auto"/>
              </w:rPr>
              <w:t>Sign</w:t>
            </w:r>
            <w:proofErr w:type="spellEnd"/>
          </w:p>
        </w:tc>
        <w:tc>
          <w:tcPr>
            <w:tcW w:w="2380" w:type="dxa"/>
            <w:gridSpan w:val="2"/>
            <w:vAlign w:val="bottom"/>
          </w:tcPr>
          <w:p w:rsidR="00004A73" w:rsidRDefault="00004A73" w:rsidP="005B6AE2">
            <w:pPr>
              <w:autoSpaceDE w:val="0"/>
              <w:autoSpaceDN w:val="0"/>
              <w:adjustRightInd w:val="0"/>
              <w:spacing w:line="240" w:lineRule="auto"/>
              <w:jc w:val="center"/>
              <w:rPr>
                <w:rFonts w:ascii="Arial" w:hAnsi="Arial" w:cs="Arial"/>
                <w:color w:val="000000"/>
                <w:sz w:val="24"/>
                <w:szCs w:val="24"/>
              </w:rPr>
            </w:pPr>
            <w:r>
              <w:rPr>
                <w:b/>
              </w:rPr>
              <w:t>±4,74***</w:t>
            </w:r>
          </w:p>
        </w:tc>
      </w:tr>
    </w:tbl>
    <w:p w:rsidR="00004A73" w:rsidRPr="00652ED4" w:rsidRDefault="00004A73" w:rsidP="005B6AE2">
      <w:pPr>
        <w:pStyle w:val="Sinespaciado"/>
        <w:ind w:left="1276"/>
        <w:rPr>
          <w:rFonts w:ascii="Arial" w:hAnsi="Arial" w:cs="Arial"/>
          <w:sz w:val="24"/>
          <w:szCs w:val="24"/>
        </w:rPr>
      </w:pPr>
      <w:r w:rsidRPr="00652ED4">
        <w:rPr>
          <w:rFonts w:ascii="Arial" w:hAnsi="Arial" w:cs="Arial"/>
          <w:sz w:val="24"/>
          <w:szCs w:val="24"/>
        </w:rPr>
        <w:t>EE: Error estándar</w:t>
      </w:r>
    </w:p>
    <w:p w:rsidR="00004A73" w:rsidRPr="00652ED4" w:rsidRDefault="00004A73" w:rsidP="005B6AE2">
      <w:pPr>
        <w:pStyle w:val="Sinespaciado"/>
        <w:ind w:left="1276"/>
        <w:rPr>
          <w:rFonts w:ascii="Arial" w:hAnsi="Arial" w:cs="Arial"/>
          <w:sz w:val="24"/>
          <w:szCs w:val="24"/>
        </w:rPr>
      </w:pPr>
      <w:proofErr w:type="spellStart"/>
      <w:r w:rsidRPr="00652ED4">
        <w:rPr>
          <w:rFonts w:ascii="Arial" w:hAnsi="Arial" w:cs="Arial"/>
          <w:sz w:val="24"/>
          <w:szCs w:val="24"/>
        </w:rPr>
        <w:t>Sign</w:t>
      </w:r>
      <w:proofErr w:type="spellEnd"/>
      <w:r w:rsidRPr="00652ED4">
        <w:rPr>
          <w:rFonts w:ascii="Arial" w:hAnsi="Arial" w:cs="Arial"/>
          <w:sz w:val="24"/>
          <w:szCs w:val="24"/>
        </w:rPr>
        <w:t xml:space="preserve">: Significación estadística </w:t>
      </w:r>
    </w:p>
    <w:p w:rsidR="00004A73" w:rsidRPr="00652ED4" w:rsidRDefault="00004A73" w:rsidP="005B6AE2">
      <w:pPr>
        <w:pStyle w:val="Sinespaciado"/>
        <w:ind w:left="1276"/>
        <w:rPr>
          <w:rFonts w:ascii="Arial" w:hAnsi="Arial" w:cs="Arial"/>
          <w:sz w:val="24"/>
          <w:szCs w:val="24"/>
        </w:rPr>
      </w:pPr>
      <w:r w:rsidRPr="00652ED4">
        <w:rPr>
          <w:rFonts w:ascii="Arial" w:hAnsi="Arial" w:cs="Arial"/>
          <w:sz w:val="24"/>
          <w:szCs w:val="24"/>
        </w:rPr>
        <w:t>***P&lt;0,0</w:t>
      </w:r>
      <w:r>
        <w:rPr>
          <w:rFonts w:ascii="Arial" w:hAnsi="Arial" w:cs="Arial"/>
          <w:sz w:val="24"/>
          <w:szCs w:val="24"/>
        </w:rPr>
        <w:t>0</w:t>
      </w:r>
      <w:r w:rsidRPr="00652ED4">
        <w:rPr>
          <w:rFonts w:ascii="Arial" w:hAnsi="Arial" w:cs="Arial"/>
          <w:sz w:val="24"/>
          <w:szCs w:val="24"/>
        </w:rPr>
        <w:t>1</w:t>
      </w:r>
    </w:p>
    <w:p w:rsidR="00004A73" w:rsidRPr="00652ED4" w:rsidRDefault="00004A73" w:rsidP="005B6AE2">
      <w:pPr>
        <w:spacing w:after="0" w:line="240" w:lineRule="auto"/>
        <w:ind w:left="1276"/>
        <w:rPr>
          <w:rFonts w:ascii="Arial" w:hAnsi="Arial" w:cs="Arial"/>
          <w:sz w:val="24"/>
          <w:szCs w:val="24"/>
        </w:rPr>
      </w:pPr>
      <w:r w:rsidRPr="00652ED4">
        <w:rPr>
          <w:rFonts w:ascii="Arial" w:hAnsi="Arial" w:cs="Arial"/>
          <w:sz w:val="24"/>
          <w:szCs w:val="24"/>
        </w:rPr>
        <w:t xml:space="preserve">a, </w:t>
      </w:r>
      <w:proofErr w:type="spellStart"/>
      <w:r w:rsidRPr="00652ED4">
        <w:rPr>
          <w:rFonts w:ascii="Arial" w:hAnsi="Arial" w:cs="Arial"/>
          <w:sz w:val="24"/>
          <w:szCs w:val="24"/>
        </w:rPr>
        <w:t>bSuperíndices</w:t>
      </w:r>
      <w:proofErr w:type="spellEnd"/>
      <w:r w:rsidRPr="00652ED4">
        <w:rPr>
          <w:rFonts w:ascii="Arial" w:hAnsi="Arial" w:cs="Arial"/>
          <w:sz w:val="24"/>
          <w:szCs w:val="24"/>
        </w:rPr>
        <w:t xml:space="preserve"> diferentes indican diferencias significativas según Duncan (1955)</w:t>
      </w:r>
    </w:p>
    <w:p w:rsidR="00004A73" w:rsidRDefault="00004A73" w:rsidP="005B6AE2">
      <w:pPr>
        <w:spacing w:line="240" w:lineRule="auto"/>
        <w:jc w:val="both"/>
        <w:rPr>
          <w:rFonts w:ascii="Arial" w:hAnsi="Arial" w:cs="Arial"/>
          <w:sz w:val="24"/>
          <w:szCs w:val="24"/>
        </w:rPr>
      </w:pPr>
    </w:p>
    <w:p w:rsidR="00004A73" w:rsidRDefault="005E5569" w:rsidP="005B6AE2">
      <w:pPr>
        <w:spacing w:line="240" w:lineRule="auto"/>
        <w:jc w:val="both"/>
        <w:rPr>
          <w:rFonts w:ascii="Arial" w:hAnsi="Arial" w:cs="Arial"/>
          <w:sz w:val="24"/>
          <w:szCs w:val="24"/>
        </w:rPr>
      </w:pPr>
      <w:r>
        <w:rPr>
          <w:rFonts w:ascii="Arial" w:hAnsi="Arial" w:cs="Arial"/>
          <w:sz w:val="24"/>
          <w:szCs w:val="24"/>
        </w:rPr>
        <w:t>E</w:t>
      </w:r>
      <w:r w:rsidRPr="0058323F">
        <w:rPr>
          <w:rFonts w:ascii="Arial" w:hAnsi="Arial" w:cs="Arial"/>
          <w:sz w:val="24"/>
          <w:szCs w:val="24"/>
        </w:rPr>
        <w:t xml:space="preserve">l ardor </w:t>
      </w:r>
      <w:r>
        <w:rPr>
          <w:rFonts w:ascii="Arial" w:hAnsi="Arial" w:cs="Arial"/>
          <w:sz w:val="24"/>
          <w:szCs w:val="24"/>
        </w:rPr>
        <w:t xml:space="preserve">bucal </w:t>
      </w:r>
      <w:r w:rsidRPr="0058323F">
        <w:rPr>
          <w:rFonts w:ascii="Arial" w:hAnsi="Arial" w:cs="Arial"/>
          <w:sz w:val="24"/>
          <w:szCs w:val="24"/>
        </w:rPr>
        <w:t xml:space="preserve">en múltiples áreas o generalizado resultó el </w:t>
      </w:r>
      <w:r>
        <w:rPr>
          <w:rFonts w:ascii="Arial" w:hAnsi="Arial" w:cs="Arial"/>
          <w:sz w:val="24"/>
          <w:szCs w:val="24"/>
        </w:rPr>
        <w:t xml:space="preserve">valor más representativo </w:t>
      </w:r>
      <w:r w:rsidRPr="0058323F">
        <w:rPr>
          <w:rFonts w:ascii="Arial" w:hAnsi="Arial" w:cs="Arial"/>
          <w:sz w:val="24"/>
          <w:szCs w:val="24"/>
        </w:rPr>
        <w:t>con un 53,42%</w:t>
      </w:r>
      <w:r>
        <w:rPr>
          <w:rFonts w:ascii="Arial" w:hAnsi="Arial" w:cs="Arial"/>
          <w:sz w:val="24"/>
          <w:szCs w:val="24"/>
        </w:rPr>
        <w:t xml:space="preserve"> con diferencias estadísticamente significativas de las demás </w:t>
      </w:r>
      <w:r w:rsidRPr="0058323F">
        <w:rPr>
          <w:rFonts w:ascii="Arial" w:hAnsi="Arial" w:cs="Arial"/>
          <w:sz w:val="24"/>
          <w:szCs w:val="24"/>
        </w:rPr>
        <w:t xml:space="preserve">y </w:t>
      </w:r>
      <w:r>
        <w:rPr>
          <w:rFonts w:ascii="Arial" w:hAnsi="Arial" w:cs="Arial"/>
          <w:sz w:val="24"/>
          <w:szCs w:val="24"/>
        </w:rPr>
        <w:t xml:space="preserve">que </w:t>
      </w:r>
      <w:r w:rsidRPr="0058323F">
        <w:rPr>
          <w:rFonts w:ascii="Arial" w:hAnsi="Arial" w:cs="Arial"/>
          <w:sz w:val="24"/>
          <w:szCs w:val="24"/>
        </w:rPr>
        <w:t xml:space="preserve">solo el 6,84% </w:t>
      </w:r>
      <w:r>
        <w:rPr>
          <w:rFonts w:ascii="Arial" w:hAnsi="Arial" w:cs="Arial"/>
          <w:sz w:val="24"/>
          <w:szCs w:val="24"/>
        </w:rPr>
        <w:t>lo refirió en los labios, tabla 3.</w:t>
      </w:r>
    </w:p>
    <w:p w:rsidR="00810BC2" w:rsidRDefault="00810BC2" w:rsidP="005B6AE2">
      <w:pPr>
        <w:spacing w:line="240" w:lineRule="auto"/>
        <w:jc w:val="both"/>
        <w:rPr>
          <w:rFonts w:ascii="Arial" w:hAnsi="Arial" w:cs="Arial"/>
          <w:sz w:val="24"/>
          <w:szCs w:val="24"/>
        </w:rPr>
      </w:pPr>
    </w:p>
    <w:p w:rsidR="005E5569" w:rsidRPr="007F3604" w:rsidRDefault="005E5569" w:rsidP="005B6AE2">
      <w:pPr>
        <w:spacing w:line="240" w:lineRule="auto"/>
        <w:jc w:val="both"/>
        <w:rPr>
          <w:rFonts w:ascii="Arial" w:eastAsia="Calibri" w:hAnsi="Arial" w:cs="Arial"/>
          <w:sz w:val="24"/>
          <w:szCs w:val="24"/>
        </w:rPr>
      </w:pPr>
      <w:r>
        <w:rPr>
          <w:rFonts w:ascii="Arial" w:hAnsi="Arial" w:cs="Arial"/>
          <w:b/>
          <w:sz w:val="24"/>
          <w:szCs w:val="24"/>
        </w:rPr>
        <w:t xml:space="preserve">Tabla </w:t>
      </w:r>
      <w:r w:rsidRPr="00BD14AE">
        <w:rPr>
          <w:rFonts w:ascii="Arial" w:hAnsi="Arial" w:cs="Arial"/>
          <w:b/>
          <w:sz w:val="24"/>
          <w:szCs w:val="24"/>
        </w:rPr>
        <w:t>3</w:t>
      </w:r>
      <w:r>
        <w:rPr>
          <w:rFonts w:ascii="Arial" w:hAnsi="Arial" w:cs="Arial"/>
          <w:b/>
          <w:sz w:val="24"/>
          <w:szCs w:val="24"/>
        </w:rPr>
        <w:t xml:space="preserve">: </w:t>
      </w:r>
      <w:r>
        <w:rPr>
          <w:rFonts w:ascii="Arial" w:hAnsi="Arial" w:cs="Arial"/>
          <w:sz w:val="24"/>
          <w:szCs w:val="24"/>
        </w:rPr>
        <w:t>L</w:t>
      </w:r>
      <w:r w:rsidRPr="005F1EBD">
        <w:rPr>
          <w:rFonts w:ascii="Arial" w:hAnsi="Arial" w:cs="Arial"/>
          <w:sz w:val="24"/>
          <w:szCs w:val="24"/>
        </w:rPr>
        <w:t>ocalizaciones del ardor buca</w:t>
      </w:r>
      <w:r>
        <w:rPr>
          <w:rFonts w:ascii="Arial" w:hAnsi="Arial" w:cs="Arial"/>
          <w:sz w:val="24"/>
          <w:szCs w:val="24"/>
        </w:rPr>
        <w:t>l en mujeres menopáusicas,</w:t>
      </w:r>
      <w:r w:rsidRPr="005F1EBD">
        <w:rPr>
          <w:rFonts w:ascii="Arial" w:hAnsi="Arial" w:cs="Arial"/>
          <w:sz w:val="24"/>
          <w:szCs w:val="24"/>
        </w:rPr>
        <w:t xml:space="preserve"> Güines 2018</w:t>
      </w:r>
      <w:r>
        <w:rPr>
          <w:rFonts w:ascii="Arial" w:hAnsi="Arial" w:cs="Arial"/>
          <w:sz w:val="24"/>
          <w:szCs w:val="24"/>
        </w:rPr>
        <w:t>-2020.</w:t>
      </w:r>
    </w:p>
    <w:tbl>
      <w:tblPr>
        <w:tblStyle w:val="Tablaconcuadrcula"/>
        <w:tblW w:w="0" w:type="auto"/>
        <w:jc w:val="center"/>
        <w:tblLook w:val="04A0" w:firstRow="1" w:lastRow="0" w:firstColumn="1" w:lastColumn="0" w:noHBand="0" w:noVBand="1"/>
      </w:tblPr>
      <w:tblGrid>
        <w:gridCol w:w="2881"/>
        <w:gridCol w:w="942"/>
        <w:gridCol w:w="1146"/>
      </w:tblGrid>
      <w:tr w:rsidR="005E5569" w:rsidRPr="00E36026" w:rsidTr="00810BC2">
        <w:trPr>
          <w:jc w:val="center"/>
        </w:trPr>
        <w:tc>
          <w:tcPr>
            <w:tcW w:w="2881" w:type="dxa"/>
          </w:tcPr>
          <w:p w:rsidR="005E5569" w:rsidRPr="00A1228C" w:rsidRDefault="005E5569" w:rsidP="005B6AE2">
            <w:pPr>
              <w:autoSpaceDE w:val="0"/>
              <w:autoSpaceDN w:val="0"/>
              <w:adjustRightInd w:val="0"/>
              <w:spacing w:line="240" w:lineRule="auto"/>
              <w:jc w:val="center"/>
              <w:rPr>
                <w:rFonts w:ascii="Arial" w:hAnsi="Arial" w:cs="Arial"/>
                <w:b/>
                <w:color w:val="000000"/>
                <w:sz w:val="24"/>
                <w:szCs w:val="24"/>
              </w:rPr>
            </w:pPr>
            <w:r w:rsidRPr="00A1228C">
              <w:rPr>
                <w:rFonts w:ascii="Arial" w:hAnsi="Arial" w:cs="Arial"/>
                <w:b/>
                <w:color w:val="000000"/>
                <w:sz w:val="24"/>
                <w:szCs w:val="24"/>
              </w:rPr>
              <w:t>Localización del ardor bucal</w:t>
            </w:r>
          </w:p>
        </w:tc>
        <w:tc>
          <w:tcPr>
            <w:tcW w:w="942" w:type="dxa"/>
          </w:tcPr>
          <w:p w:rsidR="005E5569" w:rsidRPr="00A1228C" w:rsidRDefault="005E5569" w:rsidP="005B6AE2">
            <w:pPr>
              <w:autoSpaceDE w:val="0"/>
              <w:autoSpaceDN w:val="0"/>
              <w:adjustRightInd w:val="0"/>
              <w:spacing w:line="240" w:lineRule="auto"/>
              <w:jc w:val="center"/>
              <w:rPr>
                <w:rFonts w:ascii="Arial" w:hAnsi="Arial" w:cs="Arial"/>
                <w:b/>
                <w:color w:val="000000"/>
                <w:sz w:val="24"/>
                <w:szCs w:val="24"/>
              </w:rPr>
            </w:pPr>
            <w:r w:rsidRPr="00A1228C">
              <w:rPr>
                <w:rFonts w:ascii="Arial" w:hAnsi="Arial" w:cs="Arial"/>
                <w:b/>
                <w:color w:val="000000"/>
                <w:sz w:val="24"/>
                <w:szCs w:val="24"/>
              </w:rPr>
              <w:t>No</w:t>
            </w:r>
          </w:p>
        </w:tc>
        <w:tc>
          <w:tcPr>
            <w:tcW w:w="1146" w:type="dxa"/>
          </w:tcPr>
          <w:p w:rsidR="005E5569" w:rsidRPr="00A1228C" w:rsidRDefault="005E5569" w:rsidP="005B6AE2">
            <w:pPr>
              <w:autoSpaceDE w:val="0"/>
              <w:autoSpaceDN w:val="0"/>
              <w:adjustRightInd w:val="0"/>
              <w:spacing w:line="240" w:lineRule="auto"/>
              <w:jc w:val="center"/>
              <w:rPr>
                <w:rFonts w:ascii="Arial" w:hAnsi="Arial" w:cs="Arial"/>
                <w:b/>
                <w:color w:val="000000"/>
                <w:sz w:val="24"/>
                <w:szCs w:val="24"/>
              </w:rPr>
            </w:pPr>
            <w:r w:rsidRPr="00A1228C">
              <w:rPr>
                <w:rFonts w:ascii="Arial" w:hAnsi="Arial" w:cs="Arial"/>
                <w:b/>
                <w:color w:val="000000"/>
                <w:sz w:val="24"/>
                <w:szCs w:val="24"/>
              </w:rPr>
              <w:t>%</w:t>
            </w:r>
          </w:p>
        </w:tc>
      </w:tr>
      <w:tr w:rsidR="005E5569" w:rsidRPr="00E36026" w:rsidTr="00810BC2">
        <w:trPr>
          <w:jc w:val="center"/>
        </w:trPr>
        <w:tc>
          <w:tcPr>
            <w:tcW w:w="2881"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color w:val="000000"/>
                <w:sz w:val="24"/>
                <w:szCs w:val="24"/>
              </w:rPr>
              <w:t>Lengua</w:t>
            </w:r>
          </w:p>
        </w:tc>
        <w:tc>
          <w:tcPr>
            <w:tcW w:w="942"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18</w:t>
            </w:r>
          </w:p>
        </w:tc>
        <w:tc>
          <w:tcPr>
            <w:tcW w:w="1146" w:type="dxa"/>
          </w:tcPr>
          <w:p w:rsidR="005E5569" w:rsidRPr="00F23F54" w:rsidRDefault="005E5569" w:rsidP="005B6AE2">
            <w:pPr>
              <w:spacing w:line="240" w:lineRule="auto"/>
              <w:jc w:val="center"/>
              <w:rPr>
                <w:rFonts w:ascii="Arial" w:hAnsi="Arial" w:cs="Arial"/>
                <w:color w:val="000000"/>
                <w:sz w:val="24"/>
                <w:szCs w:val="24"/>
              </w:rPr>
            </w:pPr>
            <w:r w:rsidRPr="00F23F54">
              <w:rPr>
                <w:rFonts w:ascii="Arial" w:hAnsi="Arial" w:cs="Arial"/>
                <w:color w:val="000000"/>
                <w:sz w:val="24"/>
                <w:szCs w:val="24"/>
              </w:rPr>
              <w:t>24,66 b</w:t>
            </w:r>
          </w:p>
        </w:tc>
      </w:tr>
      <w:tr w:rsidR="005E5569" w:rsidRPr="00E36026" w:rsidTr="00810BC2">
        <w:trPr>
          <w:jc w:val="center"/>
        </w:trPr>
        <w:tc>
          <w:tcPr>
            <w:tcW w:w="2881"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color w:val="000000"/>
                <w:sz w:val="24"/>
                <w:szCs w:val="24"/>
              </w:rPr>
              <w:t>Mucosa del carrillo</w:t>
            </w:r>
          </w:p>
        </w:tc>
        <w:tc>
          <w:tcPr>
            <w:tcW w:w="942"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11</w:t>
            </w:r>
          </w:p>
        </w:tc>
        <w:tc>
          <w:tcPr>
            <w:tcW w:w="1146" w:type="dxa"/>
          </w:tcPr>
          <w:p w:rsidR="005E5569" w:rsidRPr="00F23F54" w:rsidRDefault="005E5569" w:rsidP="005B6AE2">
            <w:pPr>
              <w:spacing w:line="240" w:lineRule="auto"/>
              <w:jc w:val="center"/>
              <w:rPr>
                <w:rFonts w:ascii="Arial" w:hAnsi="Arial" w:cs="Arial"/>
                <w:color w:val="000000"/>
                <w:sz w:val="24"/>
                <w:szCs w:val="24"/>
              </w:rPr>
            </w:pPr>
            <w:r w:rsidRPr="00F23F54">
              <w:rPr>
                <w:rFonts w:ascii="Arial" w:hAnsi="Arial" w:cs="Arial"/>
                <w:color w:val="000000"/>
                <w:sz w:val="24"/>
                <w:szCs w:val="24"/>
              </w:rPr>
              <w:t>15,07 b</w:t>
            </w:r>
          </w:p>
        </w:tc>
      </w:tr>
      <w:tr w:rsidR="005E5569" w:rsidRPr="00E36026" w:rsidTr="00810BC2">
        <w:trPr>
          <w:jc w:val="center"/>
        </w:trPr>
        <w:tc>
          <w:tcPr>
            <w:tcW w:w="2881"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color w:val="000000"/>
                <w:sz w:val="24"/>
                <w:szCs w:val="24"/>
              </w:rPr>
              <w:t>Labio</w:t>
            </w:r>
          </w:p>
        </w:tc>
        <w:tc>
          <w:tcPr>
            <w:tcW w:w="942"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5</w:t>
            </w:r>
          </w:p>
        </w:tc>
        <w:tc>
          <w:tcPr>
            <w:tcW w:w="1146" w:type="dxa"/>
          </w:tcPr>
          <w:p w:rsidR="005E5569" w:rsidRPr="00F23F54" w:rsidRDefault="005E5569" w:rsidP="005B6AE2">
            <w:pPr>
              <w:spacing w:line="240" w:lineRule="auto"/>
              <w:jc w:val="center"/>
              <w:rPr>
                <w:rFonts w:ascii="Arial" w:hAnsi="Arial" w:cs="Arial"/>
                <w:color w:val="000000"/>
                <w:sz w:val="24"/>
                <w:szCs w:val="24"/>
              </w:rPr>
            </w:pPr>
            <w:r w:rsidRPr="00F23F54">
              <w:rPr>
                <w:rFonts w:ascii="Arial" w:hAnsi="Arial" w:cs="Arial"/>
                <w:color w:val="000000"/>
                <w:sz w:val="24"/>
                <w:szCs w:val="24"/>
              </w:rPr>
              <w:t>6,84 c</w:t>
            </w:r>
          </w:p>
        </w:tc>
      </w:tr>
      <w:tr w:rsidR="005E5569" w:rsidRPr="00E36026" w:rsidTr="00810BC2">
        <w:trPr>
          <w:jc w:val="center"/>
        </w:trPr>
        <w:tc>
          <w:tcPr>
            <w:tcW w:w="2881"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color w:val="000000"/>
                <w:sz w:val="24"/>
                <w:szCs w:val="24"/>
              </w:rPr>
              <w:t>Múltiple</w:t>
            </w:r>
            <w:r>
              <w:rPr>
                <w:rFonts w:ascii="Arial" w:hAnsi="Arial" w:cs="Arial"/>
                <w:color w:val="000000"/>
                <w:sz w:val="24"/>
                <w:szCs w:val="24"/>
              </w:rPr>
              <w:t>s</w:t>
            </w:r>
            <w:r w:rsidRPr="00E36026">
              <w:rPr>
                <w:rFonts w:ascii="Arial" w:hAnsi="Arial" w:cs="Arial"/>
                <w:color w:val="000000"/>
                <w:sz w:val="24"/>
                <w:szCs w:val="24"/>
              </w:rPr>
              <w:t xml:space="preserve"> área</w:t>
            </w:r>
            <w:r>
              <w:rPr>
                <w:rFonts w:ascii="Arial" w:hAnsi="Arial" w:cs="Arial"/>
                <w:color w:val="000000"/>
                <w:sz w:val="24"/>
                <w:szCs w:val="24"/>
              </w:rPr>
              <w:t>s</w:t>
            </w:r>
          </w:p>
        </w:tc>
        <w:tc>
          <w:tcPr>
            <w:tcW w:w="942" w:type="dxa"/>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39</w:t>
            </w:r>
          </w:p>
        </w:tc>
        <w:tc>
          <w:tcPr>
            <w:tcW w:w="1146" w:type="dxa"/>
          </w:tcPr>
          <w:p w:rsidR="005E5569" w:rsidRPr="00F23F54" w:rsidRDefault="005E5569" w:rsidP="005B6AE2">
            <w:pPr>
              <w:spacing w:line="240" w:lineRule="auto"/>
              <w:jc w:val="center"/>
              <w:rPr>
                <w:rFonts w:ascii="Arial" w:hAnsi="Arial" w:cs="Arial"/>
                <w:color w:val="000000"/>
                <w:sz w:val="24"/>
                <w:szCs w:val="24"/>
              </w:rPr>
            </w:pPr>
            <w:r w:rsidRPr="00F23F54">
              <w:rPr>
                <w:rFonts w:ascii="Arial" w:hAnsi="Arial" w:cs="Arial"/>
                <w:color w:val="000000"/>
                <w:sz w:val="24"/>
                <w:szCs w:val="24"/>
              </w:rPr>
              <w:t>53,42 a</w:t>
            </w:r>
          </w:p>
        </w:tc>
      </w:tr>
      <w:tr w:rsidR="005E5569" w:rsidRPr="00D97028" w:rsidTr="00810BC2">
        <w:trPr>
          <w:jc w:val="center"/>
        </w:trPr>
        <w:tc>
          <w:tcPr>
            <w:tcW w:w="2881" w:type="dxa"/>
          </w:tcPr>
          <w:p w:rsidR="005E5569" w:rsidRPr="007D434B" w:rsidRDefault="005E5569" w:rsidP="005B6AE2">
            <w:pPr>
              <w:pStyle w:val="Default"/>
              <w:jc w:val="center"/>
              <w:rPr>
                <w:b/>
                <w:color w:val="auto"/>
              </w:rPr>
            </w:pPr>
            <w:r w:rsidRPr="007D434B">
              <w:rPr>
                <w:b/>
                <w:color w:val="auto"/>
              </w:rPr>
              <w:t xml:space="preserve">EE y </w:t>
            </w:r>
            <w:proofErr w:type="spellStart"/>
            <w:r w:rsidRPr="007D434B">
              <w:rPr>
                <w:b/>
                <w:color w:val="auto"/>
              </w:rPr>
              <w:t>Sign</w:t>
            </w:r>
            <w:proofErr w:type="spellEnd"/>
          </w:p>
        </w:tc>
        <w:tc>
          <w:tcPr>
            <w:tcW w:w="2088" w:type="dxa"/>
            <w:gridSpan w:val="2"/>
          </w:tcPr>
          <w:p w:rsidR="005E5569" w:rsidRPr="00D97028" w:rsidRDefault="005E5569" w:rsidP="005B6AE2">
            <w:pPr>
              <w:autoSpaceDE w:val="0"/>
              <w:autoSpaceDN w:val="0"/>
              <w:adjustRightInd w:val="0"/>
              <w:spacing w:line="240" w:lineRule="auto"/>
              <w:rPr>
                <w:rFonts w:ascii="Arial" w:hAnsi="Arial" w:cs="Arial"/>
                <w:b/>
                <w:color w:val="000000"/>
                <w:sz w:val="24"/>
                <w:szCs w:val="24"/>
              </w:rPr>
            </w:pPr>
            <w:r w:rsidRPr="007D434B">
              <w:rPr>
                <w:rFonts w:ascii="Arial" w:hAnsi="Arial" w:cs="Arial"/>
                <w:b/>
                <w:sz w:val="24"/>
                <w:szCs w:val="24"/>
              </w:rPr>
              <w:t>±</w:t>
            </w:r>
            <w:r>
              <w:rPr>
                <w:rFonts w:ascii="Arial" w:hAnsi="Arial" w:cs="Arial"/>
                <w:b/>
                <w:sz w:val="24"/>
                <w:szCs w:val="24"/>
              </w:rPr>
              <w:t>5,07</w:t>
            </w:r>
            <w:r w:rsidRPr="007D434B">
              <w:rPr>
                <w:rFonts w:ascii="Arial" w:hAnsi="Arial" w:cs="Arial"/>
                <w:b/>
                <w:sz w:val="24"/>
                <w:szCs w:val="24"/>
              </w:rPr>
              <w:t>***</w:t>
            </w:r>
          </w:p>
        </w:tc>
      </w:tr>
      <w:tr w:rsidR="005E5569" w:rsidRPr="00D97028" w:rsidTr="00810BC2">
        <w:trPr>
          <w:jc w:val="center"/>
        </w:trPr>
        <w:tc>
          <w:tcPr>
            <w:tcW w:w="2881" w:type="dxa"/>
          </w:tcPr>
          <w:p w:rsidR="005E5569" w:rsidRPr="00D97028" w:rsidRDefault="005E5569" w:rsidP="005B6AE2">
            <w:pPr>
              <w:autoSpaceDE w:val="0"/>
              <w:autoSpaceDN w:val="0"/>
              <w:adjustRightInd w:val="0"/>
              <w:spacing w:line="240" w:lineRule="auto"/>
              <w:jc w:val="center"/>
              <w:rPr>
                <w:rFonts w:ascii="Arial" w:hAnsi="Arial" w:cs="Arial"/>
                <w:b/>
                <w:color w:val="000000"/>
                <w:sz w:val="24"/>
                <w:szCs w:val="24"/>
              </w:rPr>
            </w:pPr>
            <w:r w:rsidRPr="00D97028">
              <w:rPr>
                <w:rFonts w:ascii="Arial" w:hAnsi="Arial" w:cs="Arial"/>
                <w:b/>
                <w:color w:val="000000"/>
                <w:sz w:val="24"/>
                <w:szCs w:val="24"/>
              </w:rPr>
              <w:t>Total</w:t>
            </w:r>
          </w:p>
        </w:tc>
        <w:tc>
          <w:tcPr>
            <w:tcW w:w="942" w:type="dxa"/>
          </w:tcPr>
          <w:p w:rsidR="005E5569" w:rsidRPr="00D97028" w:rsidRDefault="005E5569" w:rsidP="005B6AE2">
            <w:pPr>
              <w:autoSpaceDE w:val="0"/>
              <w:autoSpaceDN w:val="0"/>
              <w:adjustRightInd w:val="0"/>
              <w:spacing w:line="240" w:lineRule="auto"/>
              <w:jc w:val="center"/>
              <w:rPr>
                <w:rFonts w:ascii="Arial" w:hAnsi="Arial" w:cs="Arial"/>
                <w:b/>
                <w:color w:val="000000"/>
                <w:sz w:val="24"/>
                <w:szCs w:val="24"/>
              </w:rPr>
            </w:pPr>
            <w:r>
              <w:rPr>
                <w:rFonts w:ascii="Arial" w:hAnsi="Arial" w:cs="Arial"/>
                <w:b/>
                <w:color w:val="000000"/>
                <w:sz w:val="24"/>
                <w:szCs w:val="24"/>
              </w:rPr>
              <w:t>73</w:t>
            </w:r>
          </w:p>
        </w:tc>
        <w:tc>
          <w:tcPr>
            <w:tcW w:w="1146" w:type="dxa"/>
          </w:tcPr>
          <w:p w:rsidR="005E5569" w:rsidRPr="00D97028" w:rsidRDefault="005E5569" w:rsidP="005B6AE2">
            <w:pPr>
              <w:autoSpaceDE w:val="0"/>
              <w:autoSpaceDN w:val="0"/>
              <w:adjustRightInd w:val="0"/>
              <w:spacing w:line="240" w:lineRule="auto"/>
              <w:jc w:val="center"/>
              <w:rPr>
                <w:rFonts w:ascii="Arial" w:hAnsi="Arial" w:cs="Arial"/>
                <w:b/>
                <w:color w:val="000000"/>
                <w:sz w:val="24"/>
                <w:szCs w:val="24"/>
              </w:rPr>
            </w:pPr>
            <w:r w:rsidRPr="00D97028">
              <w:rPr>
                <w:rFonts w:ascii="Arial" w:hAnsi="Arial" w:cs="Arial"/>
                <w:b/>
                <w:color w:val="000000"/>
                <w:sz w:val="24"/>
                <w:szCs w:val="24"/>
              </w:rPr>
              <w:t>100</w:t>
            </w:r>
          </w:p>
        </w:tc>
      </w:tr>
    </w:tbl>
    <w:p w:rsidR="005E5569" w:rsidRDefault="005E5569" w:rsidP="005B6AE2">
      <w:pPr>
        <w:spacing w:line="240" w:lineRule="auto"/>
        <w:jc w:val="center"/>
        <w:rPr>
          <w:rFonts w:ascii="Arial" w:hAnsi="Arial" w:cs="Arial"/>
          <w:sz w:val="24"/>
          <w:szCs w:val="24"/>
        </w:rPr>
      </w:pPr>
      <w:r w:rsidRPr="00F34070">
        <w:rPr>
          <w:rFonts w:ascii="Arial" w:hAnsi="Arial" w:cs="Arial"/>
          <w:sz w:val="24"/>
          <w:szCs w:val="24"/>
        </w:rPr>
        <w:t>Fuente</w:t>
      </w:r>
      <w:r>
        <w:rPr>
          <w:rFonts w:ascii="Arial" w:hAnsi="Arial" w:cs="Arial"/>
          <w:sz w:val="24"/>
          <w:szCs w:val="24"/>
        </w:rPr>
        <w:t>: HSBF, ASS</w:t>
      </w:r>
    </w:p>
    <w:p w:rsidR="005E5569" w:rsidRPr="00652ED4" w:rsidRDefault="005E5569" w:rsidP="005B6AE2">
      <w:pPr>
        <w:pStyle w:val="Sinespaciado"/>
        <w:ind w:left="1701"/>
        <w:rPr>
          <w:rFonts w:ascii="Arial" w:hAnsi="Arial" w:cs="Arial"/>
          <w:sz w:val="24"/>
          <w:szCs w:val="24"/>
        </w:rPr>
      </w:pPr>
      <w:r w:rsidRPr="00652ED4">
        <w:rPr>
          <w:rFonts w:ascii="Arial" w:hAnsi="Arial" w:cs="Arial"/>
          <w:sz w:val="24"/>
          <w:szCs w:val="24"/>
        </w:rPr>
        <w:t>EE: Error estándar</w:t>
      </w:r>
    </w:p>
    <w:p w:rsidR="005E5569" w:rsidRPr="00652ED4" w:rsidRDefault="005E5569" w:rsidP="005B6AE2">
      <w:pPr>
        <w:pStyle w:val="Sinespaciado"/>
        <w:ind w:left="1701"/>
        <w:rPr>
          <w:rFonts w:ascii="Arial" w:hAnsi="Arial" w:cs="Arial"/>
          <w:sz w:val="24"/>
          <w:szCs w:val="24"/>
        </w:rPr>
      </w:pPr>
      <w:proofErr w:type="spellStart"/>
      <w:r w:rsidRPr="00652ED4">
        <w:rPr>
          <w:rFonts w:ascii="Arial" w:hAnsi="Arial" w:cs="Arial"/>
          <w:sz w:val="24"/>
          <w:szCs w:val="24"/>
        </w:rPr>
        <w:t>Sign</w:t>
      </w:r>
      <w:proofErr w:type="spellEnd"/>
      <w:r w:rsidRPr="00652ED4">
        <w:rPr>
          <w:rFonts w:ascii="Arial" w:hAnsi="Arial" w:cs="Arial"/>
          <w:sz w:val="24"/>
          <w:szCs w:val="24"/>
        </w:rPr>
        <w:t xml:space="preserve">: Significación estadística </w:t>
      </w:r>
    </w:p>
    <w:p w:rsidR="005E5569" w:rsidRPr="00652ED4" w:rsidRDefault="005E5569" w:rsidP="005B6AE2">
      <w:pPr>
        <w:pStyle w:val="Sinespaciado"/>
        <w:ind w:left="1701"/>
        <w:rPr>
          <w:rFonts w:ascii="Arial" w:hAnsi="Arial" w:cs="Arial"/>
          <w:sz w:val="24"/>
          <w:szCs w:val="24"/>
        </w:rPr>
      </w:pPr>
      <w:r w:rsidRPr="00652ED4">
        <w:rPr>
          <w:rFonts w:ascii="Arial" w:hAnsi="Arial" w:cs="Arial"/>
          <w:sz w:val="24"/>
          <w:szCs w:val="24"/>
        </w:rPr>
        <w:t>***P&lt;0,0</w:t>
      </w:r>
      <w:r>
        <w:rPr>
          <w:rFonts w:ascii="Arial" w:hAnsi="Arial" w:cs="Arial"/>
          <w:sz w:val="24"/>
          <w:szCs w:val="24"/>
        </w:rPr>
        <w:t>0</w:t>
      </w:r>
      <w:r w:rsidRPr="00652ED4">
        <w:rPr>
          <w:rFonts w:ascii="Arial" w:hAnsi="Arial" w:cs="Arial"/>
          <w:sz w:val="24"/>
          <w:szCs w:val="24"/>
        </w:rPr>
        <w:t>1</w:t>
      </w:r>
    </w:p>
    <w:p w:rsidR="005E5569" w:rsidRPr="00652ED4" w:rsidRDefault="005E5569" w:rsidP="005B6AE2">
      <w:pPr>
        <w:spacing w:after="0" w:line="240" w:lineRule="auto"/>
        <w:ind w:left="1701"/>
        <w:rPr>
          <w:rFonts w:ascii="Arial" w:hAnsi="Arial" w:cs="Arial"/>
          <w:sz w:val="24"/>
          <w:szCs w:val="24"/>
        </w:rPr>
      </w:pPr>
      <w:r w:rsidRPr="00652ED4">
        <w:rPr>
          <w:rFonts w:ascii="Arial" w:hAnsi="Arial" w:cs="Arial"/>
          <w:sz w:val="24"/>
          <w:szCs w:val="24"/>
        </w:rPr>
        <w:t xml:space="preserve">a, </w:t>
      </w:r>
      <w:proofErr w:type="spellStart"/>
      <w:r w:rsidRPr="00652ED4">
        <w:rPr>
          <w:rFonts w:ascii="Arial" w:hAnsi="Arial" w:cs="Arial"/>
          <w:sz w:val="24"/>
          <w:szCs w:val="24"/>
        </w:rPr>
        <w:t>bSuperíndices</w:t>
      </w:r>
      <w:proofErr w:type="spellEnd"/>
      <w:r w:rsidRPr="00652ED4">
        <w:rPr>
          <w:rFonts w:ascii="Arial" w:hAnsi="Arial" w:cs="Arial"/>
          <w:sz w:val="24"/>
          <w:szCs w:val="24"/>
        </w:rPr>
        <w:t xml:space="preserve"> diferentes indican diferencias significativas según Duncan (1955)</w:t>
      </w:r>
    </w:p>
    <w:p w:rsidR="005E5569" w:rsidRDefault="005E5569" w:rsidP="005B6AE2">
      <w:pPr>
        <w:spacing w:line="240" w:lineRule="auto"/>
        <w:jc w:val="both"/>
        <w:rPr>
          <w:rFonts w:ascii="Arial" w:hAnsi="Arial" w:cs="Arial"/>
          <w:sz w:val="24"/>
          <w:szCs w:val="24"/>
        </w:rPr>
      </w:pPr>
    </w:p>
    <w:p w:rsidR="005E5569" w:rsidRDefault="005E5569" w:rsidP="005B6AE2">
      <w:pPr>
        <w:spacing w:line="240" w:lineRule="auto"/>
        <w:jc w:val="both"/>
        <w:rPr>
          <w:rFonts w:ascii="Arial" w:hAnsi="Arial" w:cs="Arial"/>
          <w:sz w:val="24"/>
          <w:szCs w:val="24"/>
        </w:rPr>
      </w:pPr>
    </w:p>
    <w:p w:rsidR="005E5569" w:rsidRDefault="005E5569" w:rsidP="005B6AE2">
      <w:pPr>
        <w:spacing w:line="240" w:lineRule="auto"/>
        <w:jc w:val="both"/>
        <w:rPr>
          <w:rFonts w:ascii="Arial" w:hAnsi="Arial" w:cs="Arial"/>
          <w:sz w:val="24"/>
          <w:szCs w:val="24"/>
        </w:rPr>
      </w:pPr>
      <w:r>
        <w:rPr>
          <w:rFonts w:ascii="Arial" w:hAnsi="Arial" w:cs="Arial"/>
          <w:sz w:val="24"/>
          <w:szCs w:val="24"/>
        </w:rPr>
        <w:t>L</w:t>
      </w:r>
      <w:r w:rsidRPr="008F38AD">
        <w:rPr>
          <w:rFonts w:ascii="Arial" w:hAnsi="Arial" w:cs="Arial"/>
          <w:sz w:val="24"/>
          <w:szCs w:val="24"/>
        </w:rPr>
        <w:t>as manifestaciones clínicas de la enfermedad periodontal encontradas</w:t>
      </w:r>
      <w:r>
        <w:rPr>
          <w:rFonts w:ascii="Arial" w:hAnsi="Arial" w:cs="Arial"/>
          <w:sz w:val="24"/>
          <w:szCs w:val="24"/>
        </w:rPr>
        <w:t xml:space="preserve"> con mayor frecuencia fueron</w:t>
      </w:r>
      <w:r w:rsidRPr="008F38AD">
        <w:rPr>
          <w:rFonts w:ascii="Arial" w:hAnsi="Arial" w:cs="Arial"/>
          <w:sz w:val="24"/>
          <w:szCs w:val="24"/>
        </w:rPr>
        <w:t xml:space="preserve"> la</w:t>
      </w:r>
      <w:r>
        <w:rPr>
          <w:rFonts w:ascii="Arial" w:hAnsi="Arial" w:cs="Arial"/>
          <w:sz w:val="24"/>
          <w:szCs w:val="24"/>
        </w:rPr>
        <w:t xml:space="preserve"> movilidad dentaria y la </w:t>
      </w:r>
      <w:r>
        <w:rPr>
          <w:rFonts w:ascii="Arial" w:hAnsi="Arial" w:cs="Arial"/>
          <w:color w:val="000000"/>
          <w:sz w:val="24"/>
          <w:szCs w:val="24"/>
        </w:rPr>
        <w:t>r</w:t>
      </w:r>
      <w:r w:rsidRPr="00E36026">
        <w:rPr>
          <w:rFonts w:ascii="Arial" w:hAnsi="Arial" w:cs="Arial"/>
          <w:color w:val="000000"/>
          <w:sz w:val="24"/>
          <w:szCs w:val="24"/>
        </w:rPr>
        <w:t>ecesión gingival</w:t>
      </w:r>
      <w:r>
        <w:rPr>
          <w:rFonts w:ascii="Arial" w:hAnsi="Arial" w:cs="Arial"/>
          <w:sz w:val="24"/>
          <w:szCs w:val="24"/>
        </w:rPr>
        <w:t xml:space="preserve"> con 93,75% y </w:t>
      </w:r>
      <w:r>
        <w:rPr>
          <w:rFonts w:ascii="Arial" w:hAnsi="Arial" w:cs="Arial"/>
          <w:color w:val="000000"/>
          <w:sz w:val="24"/>
          <w:szCs w:val="24"/>
        </w:rPr>
        <w:t xml:space="preserve">90,00% respectivamente </w:t>
      </w:r>
      <w:r>
        <w:rPr>
          <w:rFonts w:ascii="Arial" w:hAnsi="Arial" w:cs="Arial"/>
          <w:sz w:val="24"/>
          <w:szCs w:val="24"/>
        </w:rPr>
        <w:t>fueron las de mayores por ciento mientras que</w:t>
      </w:r>
      <w:r w:rsidRPr="008F38AD">
        <w:rPr>
          <w:rFonts w:ascii="Arial" w:hAnsi="Arial" w:cs="Arial"/>
          <w:sz w:val="24"/>
          <w:szCs w:val="24"/>
        </w:rPr>
        <w:t xml:space="preserve"> la menor cifra fue el sa</w:t>
      </w:r>
      <w:r>
        <w:rPr>
          <w:rFonts w:ascii="Arial" w:hAnsi="Arial" w:cs="Arial"/>
          <w:sz w:val="24"/>
          <w:szCs w:val="24"/>
        </w:rPr>
        <w:t>ngramiento gingival con un 73,75</w:t>
      </w:r>
      <w:r w:rsidRPr="008F38AD">
        <w:rPr>
          <w:rFonts w:ascii="Arial" w:hAnsi="Arial" w:cs="Arial"/>
          <w:sz w:val="24"/>
          <w:szCs w:val="24"/>
        </w:rPr>
        <w:t>%</w:t>
      </w:r>
      <w:r>
        <w:rPr>
          <w:rFonts w:ascii="Arial" w:hAnsi="Arial" w:cs="Arial"/>
          <w:sz w:val="24"/>
          <w:szCs w:val="24"/>
        </w:rPr>
        <w:t xml:space="preserve"> con diferencias significativas entre ellas, tabla 4. </w:t>
      </w:r>
    </w:p>
    <w:p w:rsidR="00810BC2" w:rsidRDefault="00810BC2" w:rsidP="005B6AE2">
      <w:pPr>
        <w:spacing w:line="240" w:lineRule="auto"/>
        <w:jc w:val="both"/>
        <w:rPr>
          <w:rFonts w:ascii="Arial" w:hAnsi="Arial" w:cs="Arial"/>
          <w:sz w:val="24"/>
          <w:szCs w:val="24"/>
        </w:rPr>
      </w:pPr>
    </w:p>
    <w:p w:rsidR="005E5569" w:rsidRDefault="005E5569" w:rsidP="005B6AE2">
      <w:pPr>
        <w:autoSpaceDE w:val="0"/>
        <w:autoSpaceDN w:val="0"/>
        <w:adjustRightInd w:val="0"/>
        <w:spacing w:line="240" w:lineRule="auto"/>
        <w:jc w:val="both"/>
        <w:rPr>
          <w:rFonts w:ascii="Arial" w:hAnsi="Arial" w:cs="Arial"/>
          <w:sz w:val="24"/>
          <w:szCs w:val="24"/>
        </w:rPr>
      </w:pPr>
      <w:r>
        <w:rPr>
          <w:rFonts w:ascii="Arial" w:hAnsi="Arial" w:cs="Arial"/>
          <w:b/>
          <w:sz w:val="24"/>
          <w:szCs w:val="24"/>
        </w:rPr>
        <w:t xml:space="preserve">Tabla </w:t>
      </w:r>
      <w:r w:rsidRPr="00BD14AE">
        <w:rPr>
          <w:rFonts w:ascii="Arial" w:hAnsi="Arial" w:cs="Arial"/>
          <w:b/>
          <w:sz w:val="24"/>
          <w:szCs w:val="24"/>
        </w:rPr>
        <w:t>4:</w:t>
      </w:r>
      <w:r>
        <w:rPr>
          <w:rFonts w:ascii="Arial" w:hAnsi="Arial" w:cs="Arial"/>
          <w:color w:val="000000"/>
          <w:sz w:val="24"/>
          <w:szCs w:val="24"/>
        </w:rPr>
        <w:t>Manifestaciones</w:t>
      </w:r>
      <w:r w:rsidRPr="005F1EBD">
        <w:rPr>
          <w:rFonts w:ascii="Arial" w:hAnsi="Arial" w:cs="Arial"/>
          <w:color w:val="000000"/>
          <w:sz w:val="24"/>
          <w:szCs w:val="24"/>
        </w:rPr>
        <w:t xml:space="preserve"> clínicas de la enfermedad periodontal</w:t>
      </w:r>
      <w:r>
        <w:rPr>
          <w:rFonts w:ascii="Arial" w:hAnsi="Arial" w:cs="Arial"/>
          <w:sz w:val="24"/>
          <w:szCs w:val="24"/>
        </w:rPr>
        <w:t>en</w:t>
      </w:r>
      <w:r w:rsidRPr="005F1EBD">
        <w:rPr>
          <w:rFonts w:ascii="Arial" w:hAnsi="Arial" w:cs="Arial"/>
          <w:sz w:val="24"/>
          <w:szCs w:val="24"/>
        </w:rPr>
        <w:t xml:space="preserve"> mujeres</w:t>
      </w:r>
      <w:r>
        <w:rPr>
          <w:rFonts w:ascii="Arial" w:hAnsi="Arial" w:cs="Arial"/>
          <w:sz w:val="24"/>
          <w:szCs w:val="24"/>
        </w:rPr>
        <w:t xml:space="preserve"> menopáusicas, </w:t>
      </w:r>
      <w:r w:rsidRPr="00A1228C">
        <w:rPr>
          <w:rFonts w:ascii="Arial" w:hAnsi="Arial" w:cs="Arial"/>
          <w:sz w:val="24"/>
          <w:szCs w:val="24"/>
        </w:rPr>
        <w:t>Güines</w:t>
      </w:r>
      <w:r w:rsidRPr="005F1EBD">
        <w:rPr>
          <w:rFonts w:ascii="Arial" w:hAnsi="Arial" w:cs="Arial"/>
          <w:sz w:val="24"/>
          <w:szCs w:val="24"/>
        </w:rPr>
        <w:t xml:space="preserve"> 2018</w:t>
      </w:r>
      <w:r>
        <w:rPr>
          <w:rFonts w:ascii="Arial" w:hAnsi="Arial" w:cs="Arial"/>
          <w:sz w:val="24"/>
          <w:szCs w:val="24"/>
        </w:rPr>
        <w:t>-2020.</w:t>
      </w:r>
    </w:p>
    <w:p w:rsidR="005E5569" w:rsidRPr="00D25173" w:rsidRDefault="005E5569" w:rsidP="005B6AE2">
      <w:pPr>
        <w:autoSpaceDE w:val="0"/>
        <w:autoSpaceDN w:val="0"/>
        <w:adjustRightInd w:val="0"/>
        <w:spacing w:line="240" w:lineRule="auto"/>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3905"/>
        <w:gridCol w:w="1046"/>
        <w:gridCol w:w="1151"/>
      </w:tblGrid>
      <w:tr w:rsidR="005E5569" w:rsidRPr="00E36026" w:rsidTr="00810BC2">
        <w:trPr>
          <w:jc w:val="center"/>
        </w:trPr>
        <w:tc>
          <w:tcPr>
            <w:tcW w:w="3905" w:type="dxa"/>
            <w:vAlign w:val="center"/>
          </w:tcPr>
          <w:p w:rsidR="005E5569" w:rsidRPr="00A1228C" w:rsidRDefault="005E5569" w:rsidP="005B6AE2">
            <w:pPr>
              <w:autoSpaceDE w:val="0"/>
              <w:autoSpaceDN w:val="0"/>
              <w:adjustRightInd w:val="0"/>
              <w:spacing w:line="240" w:lineRule="auto"/>
              <w:jc w:val="center"/>
              <w:rPr>
                <w:rFonts w:ascii="Arial" w:hAnsi="Arial" w:cs="Arial"/>
                <w:b/>
                <w:color w:val="000000"/>
                <w:sz w:val="24"/>
                <w:szCs w:val="24"/>
              </w:rPr>
            </w:pPr>
            <w:r w:rsidRPr="00A1228C">
              <w:rPr>
                <w:rFonts w:ascii="Arial" w:hAnsi="Arial" w:cs="Arial"/>
                <w:b/>
                <w:color w:val="000000"/>
                <w:sz w:val="24"/>
                <w:szCs w:val="24"/>
              </w:rPr>
              <w:t>Manifestaciones clínicas</w:t>
            </w:r>
          </w:p>
          <w:p w:rsidR="005E5569" w:rsidRPr="00A1228C" w:rsidRDefault="005E5569" w:rsidP="005B6AE2">
            <w:pPr>
              <w:autoSpaceDE w:val="0"/>
              <w:autoSpaceDN w:val="0"/>
              <w:adjustRightInd w:val="0"/>
              <w:spacing w:line="240" w:lineRule="auto"/>
              <w:jc w:val="center"/>
              <w:rPr>
                <w:rFonts w:ascii="Arial" w:hAnsi="Arial" w:cs="Arial"/>
                <w:b/>
                <w:color w:val="000000"/>
                <w:sz w:val="24"/>
                <w:szCs w:val="24"/>
              </w:rPr>
            </w:pPr>
            <w:r>
              <w:rPr>
                <w:rFonts w:ascii="Arial" w:hAnsi="Arial" w:cs="Arial"/>
                <w:b/>
                <w:color w:val="000000"/>
                <w:sz w:val="24"/>
                <w:szCs w:val="24"/>
              </w:rPr>
              <w:t>d</w:t>
            </w:r>
            <w:r w:rsidRPr="00A1228C">
              <w:rPr>
                <w:rFonts w:ascii="Arial" w:hAnsi="Arial" w:cs="Arial"/>
                <w:b/>
                <w:color w:val="000000"/>
                <w:sz w:val="24"/>
                <w:szCs w:val="24"/>
              </w:rPr>
              <w:t>e la enfermedad periodontal</w:t>
            </w:r>
          </w:p>
        </w:tc>
        <w:tc>
          <w:tcPr>
            <w:tcW w:w="1046" w:type="dxa"/>
            <w:vAlign w:val="center"/>
          </w:tcPr>
          <w:p w:rsidR="005E5569" w:rsidRPr="00A1228C" w:rsidRDefault="005E5569" w:rsidP="005B6AE2">
            <w:pPr>
              <w:autoSpaceDE w:val="0"/>
              <w:autoSpaceDN w:val="0"/>
              <w:adjustRightInd w:val="0"/>
              <w:spacing w:line="240" w:lineRule="auto"/>
              <w:jc w:val="center"/>
              <w:rPr>
                <w:rFonts w:ascii="Arial" w:hAnsi="Arial" w:cs="Arial"/>
                <w:b/>
                <w:color w:val="000000"/>
                <w:sz w:val="24"/>
                <w:szCs w:val="24"/>
              </w:rPr>
            </w:pPr>
            <w:r w:rsidRPr="00A1228C">
              <w:rPr>
                <w:rFonts w:ascii="Arial" w:hAnsi="Arial" w:cs="Arial"/>
                <w:b/>
                <w:color w:val="000000"/>
                <w:sz w:val="24"/>
                <w:szCs w:val="24"/>
              </w:rPr>
              <w:t>No</w:t>
            </w:r>
          </w:p>
        </w:tc>
        <w:tc>
          <w:tcPr>
            <w:tcW w:w="1151" w:type="dxa"/>
            <w:vAlign w:val="center"/>
          </w:tcPr>
          <w:p w:rsidR="005E5569" w:rsidRPr="00A1228C" w:rsidRDefault="005E5569" w:rsidP="005B6AE2">
            <w:pPr>
              <w:autoSpaceDE w:val="0"/>
              <w:autoSpaceDN w:val="0"/>
              <w:adjustRightInd w:val="0"/>
              <w:spacing w:line="240" w:lineRule="auto"/>
              <w:jc w:val="center"/>
              <w:rPr>
                <w:rFonts w:ascii="Arial" w:hAnsi="Arial" w:cs="Arial"/>
                <w:b/>
                <w:color w:val="000000"/>
                <w:sz w:val="24"/>
                <w:szCs w:val="24"/>
              </w:rPr>
            </w:pPr>
            <w:r w:rsidRPr="00A1228C">
              <w:rPr>
                <w:rFonts w:ascii="Arial" w:hAnsi="Arial" w:cs="Arial"/>
                <w:b/>
                <w:color w:val="000000"/>
                <w:sz w:val="24"/>
                <w:szCs w:val="24"/>
              </w:rPr>
              <w:t>%</w:t>
            </w:r>
          </w:p>
        </w:tc>
      </w:tr>
      <w:tr w:rsidR="005E5569" w:rsidRPr="00E36026" w:rsidTr="00810BC2">
        <w:trPr>
          <w:jc w:val="center"/>
        </w:trPr>
        <w:tc>
          <w:tcPr>
            <w:tcW w:w="3905"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color w:val="000000"/>
                <w:sz w:val="24"/>
                <w:szCs w:val="24"/>
              </w:rPr>
              <w:t>Sangramiento gingival</w:t>
            </w:r>
          </w:p>
        </w:tc>
        <w:tc>
          <w:tcPr>
            <w:tcW w:w="1046"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59</w:t>
            </w:r>
          </w:p>
        </w:tc>
        <w:tc>
          <w:tcPr>
            <w:tcW w:w="1151"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73,75 b</w:t>
            </w:r>
          </w:p>
        </w:tc>
      </w:tr>
      <w:tr w:rsidR="005E5569" w:rsidRPr="00E36026" w:rsidTr="00810BC2">
        <w:trPr>
          <w:jc w:val="center"/>
        </w:trPr>
        <w:tc>
          <w:tcPr>
            <w:tcW w:w="3905"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 xml:space="preserve">Gingivitis </w:t>
            </w:r>
            <w:proofErr w:type="spellStart"/>
            <w:r>
              <w:rPr>
                <w:rFonts w:ascii="Arial" w:hAnsi="Arial" w:cs="Arial"/>
                <w:color w:val="000000"/>
                <w:sz w:val="24"/>
                <w:szCs w:val="24"/>
              </w:rPr>
              <w:t>Descamativa</w:t>
            </w:r>
            <w:proofErr w:type="spellEnd"/>
            <w:r>
              <w:rPr>
                <w:rFonts w:ascii="Arial" w:hAnsi="Arial" w:cs="Arial"/>
                <w:color w:val="000000"/>
                <w:sz w:val="24"/>
                <w:szCs w:val="24"/>
              </w:rPr>
              <w:t xml:space="preserve"> Crónica</w:t>
            </w:r>
          </w:p>
        </w:tc>
        <w:tc>
          <w:tcPr>
            <w:tcW w:w="1046"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61</w:t>
            </w:r>
          </w:p>
        </w:tc>
        <w:tc>
          <w:tcPr>
            <w:tcW w:w="1151"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76,25 b</w:t>
            </w:r>
          </w:p>
        </w:tc>
      </w:tr>
      <w:tr w:rsidR="005E5569" w:rsidRPr="00E36026" w:rsidTr="00810BC2">
        <w:trPr>
          <w:jc w:val="center"/>
        </w:trPr>
        <w:tc>
          <w:tcPr>
            <w:tcW w:w="3905"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color w:val="000000"/>
                <w:sz w:val="24"/>
                <w:szCs w:val="24"/>
              </w:rPr>
              <w:t>Movilidad dentaria</w:t>
            </w:r>
          </w:p>
        </w:tc>
        <w:tc>
          <w:tcPr>
            <w:tcW w:w="1046"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75</w:t>
            </w:r>
          </w:p>
        </w:tc>
        <w:tc>
          <w:tcPr>
            <w:tcW w:w="1151"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93,75 a</w:t>
            </w:r>
          </w:p>
        </w:tc>
      </w:tr>
      <w:tr w:rsidR="005E5569" w:rsidRPr="00E36026" w:rsidTr="00810BC2">
        <w:trPr>
          <w:jc w:val="center"/>
        </w:trPr>
        <w:tc>
          <w:tcPr>
            <w:tcW w:w="3905"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sidRPr="00E36026">
              <w:rPr>
                <w:rFonts w:ascii="Arial" w:hAnsi="Arial" w:cs="Arial"/>
                <w:color w:val="000000"/>
                <w:sz w:val="24"/>
                <w:szCs w:val="24"/>
              </w:rPr>
              <w:t>Recesión gingival</w:t>
            </w:r>
          </w:p>
        </w:tc>
        <w:tc>
          <w:tcPr>
            <w:tcW w:w="1046"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72</w:t>
            </w:r>
          </w:p>
        </w:tc>
        <w:tc>
          <w:tcPr>
            <w:tcW w:w="1151" w:type="dxa"/>
            <w:vAlign w:val="center"/>
          </w:tcPr>
          <w:p w:rsidR="005E5569" w:rsidRPr="00E36026" w:rsidRDefault="005E5569" w:rsidP="005B6AE2">
            <w:pPr>
              <w:autoSpaceDE w:val="0"/>
              <w:autoSpaceDN w:val="0"/>
              <w:adjustRightInd w:val="0"/>
              <w:spacing w:line="240" w:lineRule="auto"/>
              <w:jc w:val="center"/>
              <w:rPr>
                <w:rFonts w:ascii="Arial" w:hAnsi="Arial" w:cs="Arial"/>
                <w:color w:val="000000"/>
                <w:sz w:val="24"/>
                <w:szCs w:val="24"/>
              </w:rPr>
            </w:pPr>
            <w:r>
              <w:rPr>
                <w:rFonts w:ascii="Arial" w:hAnsi="Arial" w:cs="Arial"/>
                <w:color w:val="000000"/>
                <w:sz w:val="24"/>
                <w:szCs w:val="24"/>
              </w:rPr>
              <w:t>90,00 a</w:t>
            </w:r>
          </w:p>
        </w:tc>
      </w:tr>
      <w:tr w:rsidR="005E5569" w:rsidRPr="00E36026" w:rsidTr="00810BC2">
        <w:trPr>
          <w:jc w:val="center"/>
        </w:trPr>
        <w:tc>
          <w:tcPr>
            <w:tcW w:w="3905" w:type="dxa"/>
            <w:vAlign w:val="center"/>
          </w:tcPr>
          <w:p w:rsidR="005E5569" w:rsidRPr="007D434B" w:rsidRDefault="005E5569" w:rsidP="005B6AE2">
            <w:pPr>
              <w:pStyle w:val="Default"/>
              <w:jc w:val="center"/>
              <w:rPr>
                <w:b/>
                <w:color w:val="auto"/>
              </w:rPr>
            </w:pPr>
            <w:r w:rsidRPr="007D434B">
              <w:rPr>
                <w:b/>
                <w:color w:val="auto"/>
              </w:rPr>
              <w:t xml:space="preserve">EE y </w:t>
            </w:r>
            <w:proofErr w:type="spellStart"/>
            <w:r w:rsidRPr="007D434B">
              <w:rPr>
                <w:b/>
                <w:color w:val="auto"/>
              </w:rPr>
              <w:t>Sign</w:t>
            </w:r>
            <w:proofErr w:type="spellEnd"/>
          </w:p>
        </w:tc>
        <w:tc>
          <w:tcPr>
            <w:tcW w:w="2197" w:type="dxa"/>
            <w:gridSpan w:val="2"/>
            <w:vAlign w:val="center"/>
          </w:tcPr>
          <w:p w:rsidR="005E5569" w:rsidRPr="007D434B" w:rsidRDefault="005E5569" w:rsidP="005B6AE2">
            <w:pPr>
              <w:autoSpaceDE w:val="0"/>
              <w:autoSpaceDN w:val="0"/>
              <w:adjustRightInd w:val="0"/>
              <w:spacing w:line="240" w:lineRule="auto"/>
              <w:jc w:val="center"/>
              <w:rPr>
                <w:rFonts w:ascii="Arial" w:hAnsi="Arial" w:cs="Arial"/>
                <w:color w:val="000000"/>
                <w:sz w:val="24"/>
                <w:szCs w:val="24"/>
              </w:rPr>
            </w:pPr>
            <w:r w:rsidRPr="007D434B">
              <w:rPr>
                <w:rFonts w:ascii="Arial" w:hAnsi="Arial" w:cs="Arial"/>
                <w:b/>
                <w:sz w:val="24"/>
                <w:szCs w:val="24"/>
              </w:rPr>
              <w:t>±4,16***</w:t>
            </w:r>
          </w:p>
        </w:tc>
      </w:tr>
    </w:tbl>
    <w:p w:rsidR="005E5569" w:rsidRDefault="005E5569" w:rsidP="005B6AE2">
      <w:pPr>
        <w:spacing w:line="240" w:lineRule="auto"/>
        <w:jc w:val="center"/>
        <w:rPr>
          <w:rFonts w:ascii="Arial" w:hAnsi="Arial" w:cs="Arial"/>
          <w:sz w:val="24"/>
          <w:szCs w:val="24"/>
        </w:rPr>
      </w:pPr>
      <w:r w:rsidRPr="00F34070">
        <w:rPr>
          <w:rFonts w:ascii="Arial" w:hAnsi="Arial" w:cs="Arial"/>
          <w:sz w:val="24"/>
          <w:szCs w:val="24"/>
        </w:rPr>
        <w:t>Fuente</w:t>
      </w:r>
      <w:r>
        <w:rPr>
          <w:rFonts w:ascii="Arial" w:hAnsi="Arial" w:cs="Arial"/>
          <w:sz w:val="24"/>
          <w:szCs w:val="24"/>
        </w:rPr>
        <w:t>: HSBF, ASS</w:t>
      </w:r>
    </w:p>
    <w:p w:rsidR="005E5569" w:rsidRPr="00652ED4" w:rsidRDefault="005E5569" w:rsidP="005B6AE2">
      <w:pPr>
        <w:pStyle w:val="Sinespaciado"/>
        <w:ind w:left="1276"/>
        <w:rPr>
          <w:rFonts w:ascii="Arial" w:hAnsi="Arial" w:cs="Arial"/>
          <w:sz w:val="24"/>
          <w:szCs w:val="24"/>
        </w:rPr>
      </w:pPr>
      <w:r w:rsidRPr="00652ED4">
        <w:rPr>
          <w:rFonts w:ascii="Arial" w:hAnsi="Arial" w:cs="Arial"/>
          <w:sz w:val="24"/>
          <w:szCs w:val="24"/>
        </w:rPr>
        <w:t>EE: Error estándar</w:t>
      </w:r>
    </w:p>
    <w:p w:rsidR="005E5569" w:rsidRPr="00652ED4" w:rsidRDefault="005E5569" w:rsidP="005B6AE2">
      <w:pPr>
        <w:pStyle w:val="Sinespaciado"/>
        <w:ind w:left="1276"/>
        <w:rPr>
          <w:rFonts w:ascii="Arial" w:hAnsi="Arial" w:cs="Arial"/>
          <w:sz w:val="24"/>
          <w:szCs w:val="24"/>
        </w:rPr>
      </w:pPr>
      <w:proofErr w:type="spellStart"/>
      <w:r w:rsidRPr="00652ED4">
        <w:rPr>
          <w:rFonts w:ascii="Arial" w:hAnsi="Arial" w:cs="Arial"/>
          <w:sz w:val="24"/>
          <w:szCs w:val="24"/>
        </w:rPr>
        <w:t>Sign</w:t>
      </w:r>
      <w:proofErr w:type="spellEnd"/>
      <w:r w:rsidRPr="00652ED4">
        <w:rPr>
          <w:rFonts w:ascii="Arial" w:hAnsi="Arial" w:cs="Arial"/>
          <w:sz w:val="24"/>
          <w:szCs w:val="24"/>
        </w:rPr>
        <w:t xml:space="preserve">: Significación estadística </w:t>
      </w:r>
    </w:p>
    <w:p w:rsidR="005E5569" w:rsidRPr="00652ED4" w:rsidRDefault="005E5569" w:rsidP="005B6AE2">
      <w:pPr>
        <w:pStyle w:val="Sinespaciado"/>
        <w:ind w:left="1276"/>
        <w:rPr>
          <w:rFonts w:ascii="Arial" w:hAnsi="Arial" w:cs="Arial"/>
          <w:sz w:val="24"/>
          <w:szCs w:val="24"/>
        </w:rPr>
      </w:pPr>
      <w:r w:rsidRPr="00652ED4">
        <w:rPr>
          <w:rFonts w:ascii="Arial" w:hAnsi="Arial" w:cs="Arial"/>
          <w:sz w:val="24"/>
          <w:szCs w:val="24"/>
        </w:rPr>
        <w:t>***P&lt;0,0</w:t>
      </w:r>
      <w:r>
        <w:rPr>
          <w:rFonts w:ascii="Arial" w:hAnsi="Arial" w:cs="Arial"/>
          <w:sz w:val="24"/>
          <w:szCs w:val="24"/>
        </w:rPr>
        <w:t>0</w:t>
      </w:r>
      <w:r w:rsidRPr="00652ED4">
        <w:rPr>
          <w:rFonts w:ascii="Arial" w:hAnsi="Arial" w:cs="Arial"/>
          <w:sz w:val="24"/>
          <w:szCs w:val="24"/>
        </w:rPr>
        <w:t>1</w:t>
      </w:r>
    </w:p>
    <w:p w:rsidR="005E5569" w:rsidRDefault="005E5569" w:rsidP="005B6AE2">
      <w:pPr>
        <w:spacing w:after="0" w:line="240" w:lineRule="auto"/>
        <w:ind w:left="1276"/>
        <w:rPr>
          <w:rFonts w:ascii="Arial" w:hAnsi="Arial" w:cs="Arial"/>
          <w:sz w:val="24"/>
          <w:szCs w:val="24"/>
        </w:rPr>
      </w:pPr>
      <w:r w:rsidRPr="00652ED4">
        <w:rPr>
          <w:rFonts w:ascii="Arial" w:hAnsi="Arial" w:cs="Arial"/>
          <w:sz w:val="24"/>
          <w:szCs w:val="24"/>
        </w:rPr>
        <w:t xml:space="preserve">a, </w:t>
      </w:r>
      <w:proofErr w:type="spellStart"/>
      <w:r w:rsidRPr="00652ED4">
        <w:rPr>
          <w:rFonts w:ascii="Arial" w:hAnsi="Arial" w:cs="Arial"/>
          <w:sz w:val="24"/>
          <w:szCs w:val="24"/>
        </w:rPr>
        <w:t>bSuperíndices</w:t>
      </w:r>
      <w:proofErr w:type="spellEnd"/>
      <w:r w:rsidRPr="00652ED4">
        <w:rPr>
          <w:rFonts w:ascii="Arial" w:hAnsi="Arial" w:cs="Arial"/>
          <w:sz w:val="24"/>
          <w:szCs w:val="24"/>
        </w:rPr>
        <w:t xml:space="preserve"> diferentes indican diferencias significativas según Duncan (1955)</w:t>
      </w:r>
    </w:p>
    <w:p w:rsidR="00642327" w:rsidRDefault="00642327" w:rsidP="005B6AE2">
      <w:pPr>
        <w:spacing w:line="240" w:lineRule="auto"/>
        <w:jc w:val="both"/>
        <w:rPr>
          <w:rFonts w:ascii="Arial" w:hAnsi="Arial" w:cs="Arial"/>
          <w:sz w:val="24"/>
          <w:szCs w:val="24"/>
        </w:rPr>
      </w:pPr>
    </w:p>
    <w:p w:rsidR="005E5569" w:rsidRDefault="005E5569" w:rsidP="005B6AE2">
      <w:pPr>
        <w:spacing w:line="240" w:lineRule="auto"/>
        <w:jc w:val="both"/>
        <w:rPr>
          <w:rFonts w:ascii="Arial" w:hAnsi="Arial" w:cs="Arial"/>
          <w:sz w:val="24"/>
          <w:szCs w:val="24"/>
        </w:rPr>
      </w:pPr>
      <w:r>
        <w:rPr>
          <w:rFonts w:ascii="Arial" w:hAnsi="Arial" w:cs="Arial"/>
          <w:sz w:val="24"/>
          <w:szCs w:val="24"/>
        </w:rPr>
        <w:t xml:space="preserve">Las mayores cifras correspondieron a la presencia de manifestaciones bucales sin la existencia de una enfermedad sistémica de base, el mayor por ciento lo obtuvieron las mujeres </w:t>
      </w:r>
      <w:proofErr w:type="spellStart"/>
      <w:r>
        <w:rPr>
          <w:rFonts w:ascii="Arial" w:hAnsi="Arial" w:cs="Arial"/>
          <w:sz w:val="24"/>
          <w:szCs w:val="24"/>
        </w:rPr>
        <w:t>bruxópatas</w:t>
      </w:r>
      <w:proofErr w:type="spellEnd"/>
      <w:r>
        <w:rPr>
          <w:rFonts w:ascii="Arial" w:hAnsi="Arial" w:cs="Arial"/>
          <w:sz w:val="24"/>
          <w:szCs w:val="24"/>
        </w:rPr>
        <w:t xml:space="preserve"> con un 49,09% y el menor por ciento las lesiones eritematosas y blanquecinas con solo 4 pacientes con el 3,64%.</w:t>
      </w:r>
    </w:p>
    <w:p w:rsidR="005E5569" w:rsidRDefault="005E5569" w:rsidP="005B6AE2">
      <w:pPr>
        <w:pStyle w:val="Default"/>
        <w:jc w:val="both"/>
      </w:pPr>
      <w:r w:rsidRPr="00006256">
        <w:t>Lae</w:t>
      </w:r>
      <w:r w:rsidRPr="00006256">
        <w:rPr>
          <w:color w:val="auto"/>
        </w:rPr>
        <w:t xml:space="preserve">nfermedad periodontal, </w:t>
      </w:r>
      <w:r w:rsidRPr="00006256">
        <w:t>x</w:t>
      </w:r>
      <w:r w:rsidRPr="00006256">
        <w:rPr>
          <w:color w:val="auto"/>
        </w:rPr>
        <w:t>erostomía</w:t>
      </w:r>
      <w:r w:rsidRPr="00006256">
        <w:t>, d</w:t>
      </w:r>
      <w:r w:rsidRPr="00006256">
        <w:rPr>
          <w:color w:val="auto"/>
        </w:rPr>
        <w:t xml:space="preserve">olor </w:t>
      </w:r>
      <w:r>
        <w:rPr>
          <w:color w:val="auto"/>
        </w:rPr>
        <w:t xml:space="preserve">de la </w:t>
      </w:r>
      <w:r w:rsidRPr="00006256">
        <w:rPr>
          <w:color w:val="auto"/>
        </w:rPr>
        <w:t>ATM</w:t>
      </w:r>
      <w:r w:rsidRPr="00006256">
        <w:t xml:space="preserve"> y </w:t>
      </w:r>
      <w:r>
        <w:t>l</w:t>
      </w:r>
      <w:r w:rsidRPr="00006256">
        <w:t xml:space="preserve">esiones eritematosas y blanquecinas no presentaron diferencias en la presencia o no de </w:t>
      </w:r>
      <w:r w:rsidRPr="00411BBF">
        <w:rPr>
          <w:color w:val="auto"/>
        </w:rPr>
        <w:t>enfermedad sistémica,</w:t>
      </w:r>
      <w:r w:rsidRPr="00411BBF">
        <w:t xml:space="preserve"> sin embargo</w:t>
      </w:r>
      <w:r>
        <w:t xml:space="preserve">, </w:t>
      </w:r>
      <w:r w:rsidRPr="00411BBF">
        <w:t>el b</w:t>
      </w:r>
      <w:r w:rsidRPr="00411BBF">
        <w:rPr>
          <w:color w:val="auto"/>
        </w:rPr>
        <w:t>ruxismo</w:t>
      </w:r>
      <w:r>
        <w:rPr>
          <w:color w:val="auto"/>
        </w:rPr>
        <w:t>, a</w:t>
      </w:r>
      <w:r w:rsidRPr="00502758">
        <w:rPr>
          <w:color w:val="auto"/>
        </w:rPr>
        <w:t>rdor bucal</w:t>
      </w:r>
      <w:r>
        <w:rPr>
          <w:color w:val="auto"/>
        </w:rPr>
        <w:t xml:space="preserve">, </w:t>
      </w:r>
      <w:proofErr w:type="spellStart"/>
      <w:r>
        <w:rPr>
          <w:color w:val="auto"/>
        </w:rPr>
        <w:t>d</w:t>
      </w:r>
      <w:r w:rsidRPr="00502758">
        <w:rPr>
          <w:color w:val="auto"/>
        </w:rPr>
        <w:t>isgeusia</w:t>
      </w:r>
      <w:proofErr w:type="spellEnd"/>
      <w:r w:rsidRPr="00502758">
        <w:rPr>
          <w:color w:val="auto"/>
        </w:rPr>
        <w:t xml:space="preserve"> (alteración del gusto)</w:t>
      </w:r>
      <w:r>
        <w:rPr>
          <w:color w:val="auto"/>
        </w:rPr>
        <w:t xml:space="preserve"> y r</w:t>
      </w:r>
      <w:r w:rsidRPr="00502758">
        <w:t>eabsorción del reborde residual</w:t>
      </w:r>
      <w:r>
        <w:t xml:space="preserve"> presentaron valores superiores en la ausencia de enfermedades sistémicas con diferencias altamente significativas, tabla 5.</w:t>
      </w:r>
    </w:p>
    <w:p w:rsidR="00642327" w:rsidRDefault="00642327" w:rsidP="005B6AE2">
      <w:pPr>
        <w:pStyle w:val="Default"/>
        <w:jc w:val="both"/>
      </w:pPr>
    </w:p>
    <w:p w:rsidR="005E5569" w:rsidRDefault="005E5569" w:rsidP="005B6AE2">
      <w:pPr>
        <w:autoSpaceDE w:val="0"/>
        <w:autoSpaceDN w:val="0"/>
        <w:adjustRightInd w:val="0"/>
        <w:spacing w:line="240" w:lineRule="auto"/>
        <w:jc w:val="both"/>
        <w:rPr>
          <w:rFonts w:ascii="Arial" w:hAnsi="Arial" w:cs="Arial"/>
          <w:sz w:val="24"/>
          <w:szCs w:val="24"/>
        </w:rPr>
      </w:pPr>
      <w:r>
        <w:rPr>
          <w:rFonts w:ascii="Arial" w:hAnsi="Arial" w:cs="Arial"/>
          <w:b/>
          <w:sz w:val="24"/>
          <w:szCs w:val="24"/>
        </w:rPr>
        <w:t xml:space="preserve">Tabla </w:t>
      </w:r>
      <w:r w:rsidRPr="00BD14AE">
        <w:rPr>
          <w:rFonts w:ascii="Arial" w:hAnsi="Arial" w:cs="Arial"/>
          <w:b/>
          <w:sz w:val="24"/>
          <w:szCs w:val="24"/>
        </w:rPr>
        <w:t>5:</w:t>
      </w:r>
      <w:r>
        <w:rPr>
          <w:rFonts w:ascii="Arial" w:hAnsi="Arial" w:cs="Arial"/>
          <w:sz w:val="24"/>
          <w:szCs w:val="24"/>
        </w:rPr>
        <w:t>E</w:t>
      </w:r>
      <w:r w:rsidRPr="005F1EBD">
        <w:rPr>
          <w:rFonts w:ascii="Arial" w:hAnsi="Arial" w:cs="Arial"/>
          <w:sz w:val="24"/>
          <w:szCs w:val="24"/>
        </w:rPr>
        <w:t>nfermedades</w:t>
      </w:r>
      <w:r>
        <w:rPr>
          <w:rFonts w:ascii="Arial" w:hAnsi="Arial" w:cs="Arial"/>
          <w:sz w:val="24"/>
          <w:szCs w:val="24"/>
        </w:rPr>
        <w:t xml:space="preserve"> sistémicas presentes </w:t>
      </w:r>
      <w:r w:rsidRPr="005F1EBD">
        <w:rPr>
          <w:rFonts w:ascii="Arial" w:hAnsi="Arial" w:cs="Arial"/>
          <w:sz w:val="24"/>
          <w:szCs w:val="24"/>
        </w:rPr>
        <w:t>en mujeres</w:t>
      </w:r>
      <w:r>
        <w:rPr>
          <w:rFonts w:ascii="Arial" w:hAnsi="Arial" w:cs="Arial"/>
          <w:sz w:val="24"/>
          <w:szCs w:val="24"/>
        </w:rPr>
        <w:t xml:space="preserve"> menopáusicas según manifestaciones clínicas bucales,</w:t>
      </w:r>
      <w:r w:rsidRPr="005F1EBD">
        <w:rPr>
          <w:rFonts w:ascii="Arial" w:hAnsi="Arial" w:cs="Arial"/>
          <w:sz w:val="24"/>
          <w:szCs w:val="24"/>
        </w:rPr>
        <w:t xml:space="preserve"> Güines 2018</w:t>
      </w:r>
      <w:r>
        <w:rPr>
          <w:rFonts w:ascii="Arial" w:hAnsi="Arial" w:cs="Arial"/>
          <w:sz w:val="24"/>
          <w:szCs w:val="24"/>
        </w:rPr>
        <w:t>-2020.</w:t>
      </w:r>
    </w:p>
    <w:tbl>
      <w:tblPr>
        <w:tblStyle w:val="Tablaconcuadrcula"/>
        <w:tblW w:w="8755" w:type="dxa"/>
        <w:jc w:val="center"/>
        <w:tblLook w:val="04A0" w:firstRow="1" w:lastRow="0" w:firstColumn="1" w:lastColumn="0" w:noHBand="0" w:noVBand="1"/>
      </w:tblPr>
      <w:tblGrid>
        <w:gridCol w:w="2829"/>
        <w:gridCol w:w="807"/>
        <w:gridCol w:w="14"/>
        <w:gridCol w:w="1151"/>
        <w:gridCol w:w="863"/>
        <w:gridCol w:w="1220"/>
        <w:gridCol w:w="12"/>
        <w:gridCol w:w="1859"/>
      </w:tblGrid>
      <w:tr w:rsidR="005E5569" w:rsidRPr="00A1228C" w:rsidTr="00810BC2">
        <w:trPr>
          <w:trHeight w:val="584"/>
          <w:jc w:val="center"/>
        </w:trPr>
        <w:tc>
          <w:tcPr>
            <w:tcW w:w="2829" w:type="dxa"/>
            <w:vMerge w:val="restart"/>
            <w:vAlign w:val="center"/>
          </w:tcPr>
          <w:p w:rsidR="005E5569" w:rsidRPr="00502758" w:rsidRDefault="005E5569" w:rsidP="005B6AE2">
            <w:pPr>
              <w:pStyle w:val="Default"/>
              <w:jc w:val="center"/>
              <w:rPr>
                <w:b/>
                <w:color w:val="auto"/>
              </w:rPr>
            </w:pPr>
            <w:r w:rsidRPr="00502758">
              <w:rPr>
                <w:b/>
                <w:color w:val="auto"/>
              </w:rPr>
              <w:t>Enfermedades y/o manifestaciones  clínicas bucales</w:t>
            </w:r>
          </w:p>
        </w:tc>
        <w:tc>
          <w:tcPr>
            <w:tcW w:w="4055" w:type="dxa"/>
            <w:gridSpan w:val="5"/>
            <w:tcBorders>
              <w:bottom w:val="single" w:sz="4" w:space="0" w:color="auto"/>
            </w:tcBorders>
            <w:vAlign w:val="center"/>
          </w:tcPr>
          <w:p w:rsidR="005E5569" w:rsidRPr="00502758" w:rsidRDefault="005E5569" w:rsidP="005B6AE2">
            <w:pPr>
              <w:pStyle w:val="Default"/>
              <w:jc w:val="center"/>
              <w:rPr>
                <w:b/>
                <w:color w:val="auto"/>
              </w:rPr>
            </w:pPr>
            <w:r w:rsidRPr="00502758">
              <w:rPr>
                <w:b/>
                <w:color w:val="auto"/>
              </w:rPr>
              <w:t>Presencia de enfermedad sistémica</w:t>
            </w:r>
          </w:p>
        </w:tc>
        <w:tc>
          <w:tcPr>
            <w:tcW w:w="1871" w:type="dxa"/>
            <w:gridSpan w:val="2"/>
            <w:vAlign w:val="center"/>
          </w:tcPr>
          <w:p w:rsidR="005E5569" w:rsidRPr="00502758" w:rsidRDefault="005E5569" w:rsidP="005B6AE2">
            <w:pPr>
              <w:pStyle w:val="Default"/>
              <w:jc w:val="center"/>
              <w:rPr>
                <w:b/>
                <w:color w:val="auto"/>
              </w:rPr>
            </w:pPr>
            <w:r w:rsidRPr="00502758">
              <w:rPr>
                <w:b/>
                <w:color w:val="auto"/>
              </w:rPr>
              <w:t xml:space="preserve">EE y </w:t>
            </w:r>
            <w:proofErr w:type="spellStart"/>
            <w:r w:rsidRPr="00502758">
              <w:rPr>
                <w:b/>
                <w:color w:val="auto"/>
              </w:rPr>
              <w:t>Sign</w:t>
            </w:r>
            <w:proofErr w:type="spellEnd"/>
          </w:p>
        </w:tc>
      </w:tr>
      <w:tr w:rsidR="005E5569" w:rsidRPr="00A1228C" w:rsidTr="00810BC2">
        <w:trPr>
          <w:trHeight w:val="298"/>
          <w:jc w:val="center"/>
        </w:trPr>
        <w:tc>
          <w:tcPr>
            <w:tcW w:w="2829" w:type="dxa"/>
            <w:vMerge/>
            <w:vAlign w:val="center"/>
          </w:tcPr>
          <w:p w:rsidR="005E5569" w:rsidRPr="00502758" w:rsidRDefault="005E5569" w:rsidP="005B6AE2">
            <w:pPr>
              <w:pStyle w:val="Default"/>
              <w:jc w:val="center"/>
              <w:rPr>
                <w:b/>
                <w:color w:val="auto"/>
              </w:rPr>
            </w:pPr>
          </w:p>
        </w:tc>
        <w:tc>
          <w:tcPr>
            <w:tcW w:w="1972" w:type="dxa"/>
            <w:gridSpan w:val="3"/>
            <w:tcBorders>
              <w:top w:val="single" w:sz="4" w:space="0" w:color="auto"/>
              <w:bottom w:val="single" w:sz="4" w:space="0" w:color="auto"/>
              <w:right w:val="single" w:sz="4" w:space="0" w:color="auto"/>
            </w:tcBorders>
            <w:vAlign w:val="center"/>
          </w:tcPr>
          <w:p w:rsidR="005E5569" w:rsidRPr="00502758" w:rsidRDefault="005E5569" w:rsidP="005B6AE2">
            <w:pPr>
              <w:pStyle w:val="Default"/>
              <w:jc w:val="center"/>
              <w:rPr>
                <w:b/>
                <w:color w:val="auto"/>
              </w:rPr>
            </w:pPr>
            <w:r w:rsidRPr="00502758">
              <w:rPr>
                <w:b/>
                <w:color w:val="auto"/>
              </w:rPr>
              <w:t>Sí</w:t>
            </w:r>
          </w:p>
        </w:tc>
        <w:tc>
          <w:tcPr>
            <w:tcW w:w="2095" w:type="dxa"/>
            <w:gridSpan w:val="3"/>
            <w:tcBorders>
              <w:top w:val="single" w:sz="4" w:space="0" w:color="auto"/>
              <w:left w:val="single" w:sz="4" w:space="0" w:color="auto"/>
              <w:bottom w:val="single" w:sz="4" w:space="0" w:color="auto"/>
            </w:tcBorders>
            <w:vAlign w:val="center"/>
          </w:tcPr>
          <w:p w:rsidR="005E5569" w:rsidRPr="00502758" w:rsidRDefault="005E5569" w:rsidP="005B6AE2">
            <w:pPr>
              <w:pStyle w:val="Default"/>
              <w:jc w:val="center"/>
              <w:rPr>
                <w:b/>
                <w:color w:val="auto"/>
              </w:rPr>
            </w:pPr>
            <w:r w:rsidRPr="00502758">
              <w:rPr>
                <w:b/>
                <w:color w:val="auto"/>
              </w:rPr>
              <w:t>No</w:t>
            </w:r>
          </w:p>
        </w:tc>
        <w:tc>
          <w:tcPr>
            <w:tcW w:w="1859" w:type="dxa"/>
            <w:vMerge w:val="restart"/>
            <w:vAlign w:val="center"/>
          </w:tcPr>
          <w:p w:rsidR="005E5569" w:rsidRPr="00502758" w:rsidRDefault="005E5569" w:rsidP="005B6AE2">
            <w:pPr>
              <w:pStyle w:val="Default"/>
              <w:jc w:val="center"/>
              <w:rPr>
                <w:b/>
                <w:color w:val="auto"/>
              </w:rPr>
            </w:pPr>
          </w:p>
        </w:tc>
      </w:tr>
      <w:tr w:rsidR="005E5569" w:rsidRPr="00A1228C" w:rsidTr="00810BC2">
        <w:trPr>
          <w:trHeight w:val="340"/>
          <w:jc w:val="center"/>
        </w:trPr>
        <w:tc>
          <w:tcPr>
            <w:tcW w:w="2829" w:type="dxa"/>
            <w:vMerge/>
            <w:vAlign w:val="center"/>
          </w:tcPr>
          <w:p w:rsidR="005E5569" w:rsidRPr="00502758" w:rsidRDefault="005E5569" w:rsidP="005B6AE2">
            <w:pPr>
              <w:pStyle w:val="Default"/>
              <w:jc w:val="center"/>
              <w:rPr>
                <w:b/>
                <w:color w:val="auto"/>
              </w:rPr>
            </w:pPr>
          </w:p>
        </w:tc>
        <w:tc>
          <w:tcPr>
            <w:tcW w:w="807" w:type="dxa"/>
            <w:tcBorders>
              <w:top w:val="single" w:sz="4" w:space="0" w:color="auto"/>
              <w:right w:val="single" w:sz="4" w:space="0" w:color="auto"/>
            </w:tcBorders>
            <w:vAlign w:val="center"/>
          </w:tcPr>
          <w:p w:rsidR="005E5569" w:rsidRPr="00502758" w:rsidRDefault="005E5569" w:rsidP="005B6AE2">
            <w:pPr>
              <w:pStyle w:val="Default"/>
              <w:jc w:val="center"/>
              <w:rPr>
                <w:b/>
                <w:color w:val="auto"/>
              </w:rPr>
            </w:pPr>
            <w:r w:rsidRPr="00502758">
              <w:rPr>
                <w:b/>
                <w:color w:val="auto"/>
              </w:rPr>
              <w:t>No.</w:t>
            </w:r>
          </w:p>
        </w:tc>
        <w:tc>
          <w:tcPr>
            <w:tcW w:w="1165" w:type="dxa"/>
            <w:gridSpan w:val="2"/>
            <w:tcBorders>
              <w:top w:val="single" w:sz="4" w:space="0" w:color="auto"/>
              <w:right w:val="single" w:sz="4" w:space="0" w:color="auto"/>
            </w:tcBorders>
            <w:vAlign w:val="center"/>
          </w:tcPr>
          <w:p w:rsidR="005E5569" w:rsidRPr="00502758" w:rsidRDefault="005E5569" w:rsidP="005B6AE2">
            <w:pPr>
              <w:pStyle w:val="Default"/>
              <w:jc w:val="center"/>
              <w:rPr>
                <w:b/>
                <w:color w:val="auto"/>
              </w:rPr>
            </w:pPr>
            <w:r w:rsidRPr="00502758">
              <w:rPr>
                <w:b/>
                <w:color w:val="auto"/>
              </w:rPr>
              <w:t>%</w:t>
            </w:r>
          </w:p>
        </w:tc>
        <w:tc>
          <w:tcPr>
            <w:tcW w:w="863" w:type="dxa"/>
            <w:tcBorders>
              <w:top w:val="single" w:sz="4" w:space="0" w:color="auto"/>
              <w:left w:val="single" w:sz="4" w:space="0" w:color="auto"/>
              <w:right w:val="single" w:sz="4" w:space="0" w:color="auto"/>
            </w:tcBorders>
            <w:vAlign w:val="center"/>
          </w:tcPr>
          <w:p w:rsidR="005E5569" w:rsidRPr="00502758" w:rsidRDefault="005E5569" w:rsidP="005B6AE2">
            <w:pPr>
              <w:pStyle w:val="Default"/>
              <w:jc w:val="center"/>
              <w:rPr>
                <w:b/>
                <w:color w:val="auto"/>
              </w:rPr>
            </w:pPr>
            <w:r w:rsidRPr="00502758">
              <w:rPr>
                <w:b/>
                <w:color w:val="auto"/>
              </w:rPr>
              <w:t>No.</w:t>
            </w:r>
          </w:p>
        </w:tc>
        <w:tc>
          <w:tcPr>
            <w:tcW w:w="1232" w:type="dxa"/>
            <w:gridSpan w:val="2"/>
            <w:tcBorders>
              <w:top w:val="single" w:sz="4" w:space="0" w:color="auto"/>
              <w:left w:val="single" w:sz="4" w:space="0" w:color="auto"/>
            </w:tcBorders>
            <w:vAlign w:val="center"/>
          </w:tcPr>
          <w:p w:rsidR="005E5569" w:rsidRPr="00502758" w:rsidRDefault="005E5569" w:rsidP="005B6AE2">
            <w:pPr>
              <w:pStyle w:val="Default"/>
              <w:jc w:val="center"/>
              <w:rPr>
                <w:b/>
                <w:color w:val="auto"/>
              </w:rPr>
            </w:pPr>
            <w:r w:rsidRPr="00502758">
              <w:rPr>
                <w:b/>
                <w:color w:val="auto"/>
              </w:rPr>
              <w:t>%</w:t>
            </w:r>
          </w:p>
        </w:tc>
        <w:tc>
          <w:tcPr>
            <w:tcW w:w="1859" w:type="dxa"/>
            <w:vMerge/>
            <w:vAlign w:val="center"/>
          </w:tcPr>
          <w:p w:rsidR="005E5569" w:rsidRPr="00502758" w:rsidRDefault="005E5569" w:rsidP="005B6AE2">
            <w:pPr>
              <w:pStyle w:val="Default"/>
              <w:jc w:val="center"/>
              <w:rPr>
                <w:b/>
                <w:color w:val="auto"/>
              </w:rPr>
            </w:pPr>
          </w:p>
        </w:tc>
      </w:tr>
      <w:tr w:rsidR="005E5569" w:rsidRPr="00E36026" w:rsidTr="00810BC2">
        <w:trPr>
          <w:jc w:val="center"/>
        </w:trPr>
        <w:tc>
          <w:tcPr>
            <w:tcW w:w="2829" w:type="dxa"/>
            <w:vAlign w:val="center"/>
          </w:tcPr>
          <w:p w:rsidR="005E5569" w:rsidRPr="00502758" w:rsidRDefault="005E5569" w:rsidP="005B6AE2">
            <w:pPr>
              <w:pStyle w:val="Default"/>
              <w:jc w:val="center"/>
              <w:rPr>
                <w:color w:val="auto"/>
              </w:rPr>
            </w:pPr>
            <w:r w:rsidRPr="00502758">
              <w:rPr>
                <w:color w:val="auto"/>
              </w:rPr>
              <w:t>Enfermedad Periodontal</w:t>
            </w:r>
          </w:p>
        </w:tc>
        <w:tc>
          <w:tcPr>
            <w:tcW w:w="821" w:type="dxa"/>
            <w:gridSpan w:val="2"/>
            <w:tcBorders>
              <w:right w:val="single" w:sz="4" w:space="0" w:color="auto"/>
            </w:tcBorders>
            <w:vAlign w:val="center"/>
          </w:tcPr>
          <w:p w:rsidR="005E5569" w:rsidRPr="00502758" w:rsidRDefault="005E5569" w:rsidP="005B6AE2">
            <w:pPr>
              <w:pStyle w:val="Default"/>
              <w:jc w:val="center"/>
              <w:rPr>
                <w:color w:val="auto"/>
              </w:rPr>
            </w:pPr>
            <w:r w:rsidRPr="00502758">
              <w:rPr>
                <w:color w:val="auto"/>
              </w:rPr>
              <w:t>35</w:t>
            </w:r>
          </w:p>
        </w:tc>
        <w:tc>
          <w:tcPr>
            <w:tcW w:w="1151" w:type="dxa"/>
            <w:tcBorders>
              <w:left w:val="single" w:sz="4" w:space="0" w:color="auto"/>
            </w:tcBorders>
            <w:vAlign w:val="center"/>
          </w:tcPr>
          <w:p w:rsidR="005E5569" w:rsidRPr="00502758" w:rsidRDefault="005E5569" w:rsidP="005B6AE2">
            <w:pPr>
              <w:pStyle w:val="Default"/>
              <w:rPr>
                <w:color w:val="auto"/>
              </w:rPr>
            </w:pPr>
            <w:r w:rsidRPr="00502758">
              <w:rPr>
                <w:color w:val="auto"/>
              </w:rPr>
              <w:t>31,82</w:t>
            </w:r>
          </w:p>
        </w:tc>
        <w:tc>
          <w:tcPr>
            <w:tcW w:w="863" w:type="dxa"/>
            <w:tcBorders>
              <w:right w:val="single" w:sz="4" w:space="0" w:color="auto"/>
            </w:tcBorders>
            <w:vAlign w:val="center"/>
          </w:tcPr>
          <w:p w:rsidR="005E5569" w:rsidRPr="00502758" w:rsidRDefault="005E5569" w:rsidP="005B6AE2">
            <w:pPr>
              <w:pStyle w:val="Default"/>
              <w:jc w:val="center"/>
              <w:rPr>
                <w:color w:val="auto"/>
              </w:rPr>
            </w:pPr>
            <w:r w:rsidRPr="00502758">
              <w:rPr>
                <w:color w:val="auto"/>
              </w:rPr>
              <w:t>45</w:t>
            </w:r>
          </w:p>
        </w:tc>
        <w:tc>
          <w:tcPr>
            <w:tcW w:w="1220" w:type="dxa"/>
            <w:tcBorders>
              <w:left w:val="single" w:sz="4" w:space="0" w:color="auto"/>
            </w:tcBorders>
            <w:vAlign w:val="center"/>
          </w:tcPr>
          <w:p w:rsidR="005E5569" w:rsidRPr="00502758" w:rsidRDefault="005E5569" w:rsidP="005B6AE2">
            <w:pPr>
              <w:pStyle w:val="Default"/>
              <w:tabs>
                <w:tab w:val="left" w:pos="670"/>
              </w:tabs>
              <w:rPr>
                <w:color w:val="auto"/>
              </w:rPr>
            </w:pPr>
            <w:r w:rsidRPr="00502758">
              <w:rPr>
                <w:color w:val="auto"/>
              </w:rPr>
              <w:t>40,91</w:t>
            </w:r>
          </w:p>
        </w:tc>
        <w:tc>
          <w:tcPr>
            <w:tcW w:w="1871" w:type="dxa"/>
            <w:gridSpan w:val="2"/>
            <w:tcBorders>
              <w:left w:val="single" w:sz="4" w:space="0" w:color="auto"/>
            </w:tcBorders>
            <w:vAlign w:val="center"/>
          </w:tcPr>
          <w:p w:rsidR="005E5569" w:rsidRPr="00502758" w:rsidRDefault="005E5569" w:rsidP="005B6AE2">
            <w:pPr>
              <w:pStyle w:val="Default"/>
              <w:tabs>
                <w:tab w:val="left" w:pos="670"/>
              </w:tabs>
              <w:jc w:val="center"/>
              <w:rPr>
                <w:color w:val="auto"/>
              </w:rPr>
            </w:pPr>
            <w:r w:rsidRPr="00502758">
              <w:rPr>
                <w:color w:val="auto"/>
              </w:rPr>
              <w:t>±4,59 NS</w:t>
            </w:r>
          </w:p>
        </w:tc>
      </w:tr>
      <w:tr w:rsidR="005E5569" w:rsidRPr="00E36026" w:rsidTr="00810BC2">
        <w:trPr>
          <w:jc w:val="center"/>
        </w:trPr>
        <w:tc>
          <w:tcPr>
            <w:tcW w:w="2829" w:type="dxa"/>
            <w:vAlign w:val="center"/>
          </w:tcPr>
          <w:p w:rsidR="005E5569" w:rsidRPr="00502758" w:rsidRDefault="005E5569" w:rsidP="005B6AE2">
            <w:pPr>
              <w:pStyle w:val="Default"/>
              <w:jc w:val="center"/>
              <w:rPr>
                <w:color w:val="auto"/>
              </w:rPr>
            </w:pPr>
            <w:r w:rsidRPr="00502758">
              <w:rPr>
                <w:color w:val="auto"/>
              </w:rPr>
              <w:t>Bruxismo</w:t>
            </w:r>
          </w:p>
        </w:tc>
        <w:tc>
          <w:tcPr>
            <w:tcW w:w="821" w:type="dxa"/>
            <w:gridSpan w:val="2"/>
            <w:vAlign w:val="center"/>
          </w:tcPr>
          <w:p w:rsidR="005E5569" w:rsidRPr="00502758" w:rsidRDefault="005E5569" w:rsidP="005B6AE2">
            <w:pPr>
              <w:pStyle w:val="Default"/>
              <w:jc w:val="center"/>
              <w:rPr>
                <w:color w:val="auto"/>
              </w:rPr>
            </w:pPr>
            <w:r w:rsidRPr="00502758">
              <w:rPr>
                <w:color w:val="auto"/>
              </w:rPr>
              <w:t>10</w:t>
            </w:r>
          </w:p>
        </w:tc>
        <w:tc>
          <w:tcPr>
            <w:tcW w:w="1151" w:type="dxa"/>
            <w:vAlign w:val="center"/>
          </w:tcPr>
          <w:p w:rsidR="005E5569" w:rsidRPr="00502758" w:rsidRDefault="005E5569" w:rsidP="005B6AE2">
            <w:pPr>
              <w:pStyle w:val="Default"/>
              <w:jc w:val="center"/>
              <w:rPr>
                <w:color w:val="auto"/>
              </w:rPr>
            </w:pPr>
            <w:r w:rsidRPr="00502758">
              <w:rPr>
                <w:color w:val="auto"/>
              </w:rPr>
              <w:t>9,09</w:t>
            </w:r>
            <w:r>
              <w:rPr>
                <w:color w:val="auto"/>
              </w:rPr>
              <w:t xml:space="preserve"> b</w:t>
            </w:r>
          </w:p>
        </w:tc>
        <w:tc>
          <w:tcPr>
            <w:tcW w:w="863" w:type="dxa"/>
            <w:vAlign w:val="center"/>
          </w:tcPr>
          <w:p w:rsidR="005E5569" w:rsidRPr="00502758" w:rsidRDefault="005E5569" w:rsidP="005B6AE2">
            <w:pPr>
              <w:pStyle w:val="Default"/>
              <w:jc w:val="center"/>
              <w:rPr>
                <w:color w:val="auto"/>
              </w:rPr>
            </w:pPr>
            <w:r w:rsidRPr="00502758">
              <w:rPr>
                <w:color w:val="auto"/>
              </w:rPr>
              <w:t>54</w:t>
            </w:r>
          </w:p>
        </w:tc>
        <w:tc>
          <w:tcPr>
            <w:tcW w:w="1220" w:type="dxa"/>
            <w:vAlign w:val="center"/>
          </w:tcPr>
          <w:p w:rsidR="005E5569" w:rsidRPr="00502758" w:rsidRDefault="005E5569" w:rsidP="005B6AE2">
            <w:pPr>
              <w:pStyle w:val="Default"/>
              <w:jc w:val="center"/>
              <w:rPr>
                <w:color w:val="auto"/>
              </w:rPr>
            </w:pPr>
            <w:r w:rsidRPr="00502758">
              <w:rPr>
                <w:color w:val="auto"/>
              </w:rPr>
              <w:t>49,09</w:t>
            </w:r>
            <w:r>
              <w:rPr>
                <w:color w:val="auto"/>
              </w:rPr>
              <w:t xml:space="preserve"> a</w:t>
            </w:r>
          </w:p>
        </w:tc>
        <w:tc>
          <w:tcPr>
            <w:tcW w:w="1871" w:type="dxa"/>
            <w:gridSpan w:val="2"/>
            <w:vAlign w:val="center"/>
          </w:tcPr>
          <w:p w:rsidR="005E5569" w:rsidRPr="00502758" w:rsidRDefault="005E5569" w:rsidP="005B6AE2">
            <w:pPr>
              <w:pStyle w:val="Default"/>
              <w:jc w:val="center"/>
              <w:rPr>
                <w:color w:val="auto"/>
              </w:rPr>
            </w:pPr>
            <w:r w:rsidRPr="00502758">
              <w:rPr>
                <w:color w:val="auto"/>
              </w:rPr>
              <w:t>±4,33 ***</w:t>
            </w:r>
          </w:p>
        </w:tc>
      </w:tr>
      <w:tr w:rsidR="005E5569" w:rsidRPr="00E36026" w:rsidTr="00810BC2">
        <w:trPr>
          <w:jc w:val="center"/>
        </w:trPr>
        <w:tc>
          <w:tcPr>
            <w:tcW w:w="2829" w:type="dxa"/>
            <w:vAlign w:val="center"/>
          </w:tcPr>
          <w:p w:rsidR="005E5569" w:rsidRPr="00502758" w:rsidRDefault="005E5569" w:rsidP="005B6AE2">
            <w:pPr>
              <w:pStyle w:val="Default"/>
              <w:jc w:val="center"/>
              <w:rPr>
                <w:color w:val="auto"/>
              </w:rPr>
            </w:pPr>
            <w:r w:rsidRPr="00502758">
              <w:rPr>
                <w:color w:val="auto"/>
              </w:rPr>
              <w:t>Ardor bucal</w:t>
            </w:r>
          </w:p>
        </w:tc>
        <w:tc>
          <w:tcPr>
            <w:tcW w:w="821" w:type="dxa"/>
            <w:gridSpan w:val="2"/>
            <w:vAlign w:val="center"/>
          </w:tcPr>
          <w:p w:rsidR="005E5569" w:rsidRPr="00502758" w:rsidRDefault="005E5569" w:rsidP="005B6AE2">
            <w:pPr>
              <w:pStyle w:val="Default"/>
              <w:jc w:val="center"/>
              <w:rPr>
                <w:color w:val="auto"/>
              </w:rPr>
            </w:pPr>
            <w:r w:rsidRPr="00502758">
              <w:rPr>
                <w:color w:val="auto"/>
              </w:rPr>
              <w:t>23</w:t>
            </w:r>
          </w:p>
        </w:tc>
        <w:tc>
          <w:tcPr>
            <w:tcW w:w="1151" w:type="dxa"/>
            <w:vAlign w:val="center"/>
          </w:tcPr>
          <w:p w:rsidR="005E5569" w:rsidRPr="00502758" w:rsidRDefault="005E5569" w:rsidP="005B6AE2">
            <w:pPr>
              <w:pStyle w:val="Default"/>
              <w:jc w:val="center"/>
              <w:rPr>
                <w:color w:val="auto"/>
              </w:rPr>
            </w:pPr>
            <w:r w:rsidRPr="00502758">
              <w:rPr>
                <w:color w:val="auto"/>
              </w:rPr>
              <w:t>20,91</w:t>
            </w:r>
            <w:r>
              <w:rPr>
                <w:color w:val="auto"/>
              </w:rPr>
              <w:t xml:space="preserve"> b</w:t>
            </w:r>
          </w:p>
        </w:tc>
        <w:tc>
          <w:tcPr>
            <w:tcW w:w="863" w:type="dxa"/>
            <w:vAlign w:val="center"/>
          </w:tcPr>
          <w:p w:rsidR="005E5569" w:rsidRPr="00502758" w:rsidRDefault="005E5569" w:rsidP="005B6AE2">
            <w:pPr>
              <w:pStyle w:val="Default"/>
              <w:jc w:val="center"/>
              <w:rPr>
                <w:color w:val="auto"/>
              </w:rPr>
            </w:pPr>
            <w:r w:rsidRPr="00502758">
              <w:rPr>
                <w:color w:val="auto"/>
              </w:rPr>
              <w:t>50</w:t>
            </w:r>
          </w:p>
        </w:tc>
        <w:tc>
          <w:tcPr>
            <w:tcW w:w="1220" w:type="dxa"/>
            <w:vAlign w:val="center"/>
          </w:tcPr>
          <w:p w:rsidR="005E5569" w:rsidRPr="00502758" w:rsidRDefault="005E5569" w:rsidP="005B6AE2">
            <w:pPr>
              <w:pStyle w:val="Default"/>
              <w:jc w:val="center"/>
              <w:rPr>
                <w:color w:val="auto"/>
              </w:rPr>
            </w:pPr>
            <w:r w:rsidRPr="00502758">
              <w:rPr>
                <w:color w:val="auto"/>
              </w:rPr>
              <w:t>45,45</w:t>
            </w:r>
            <w:r>
              <w:rPr>
                <w:color w:val="auto"/>
              </w:rPr>
              <w:t xml:space="preserve"> a</w:t>
            </w:r>
          </w:p>
        </w:tc>
        <w:tc>
          <w:tcPr>
            <w:tcW w:w="1871" w:type="dxa"/>
            <w:gridSpan w:val="2"/>
            <w:vAlign w:val="center"/>
          </w:tcPr>
          <w:p w:rsidR="005E5569" w:rsidRPr="00502758" w:rsidRDefault="005E5569" w:rsidP="005B6AE2">
            <w:pPr>
              <w:pStyle w:val="Default"/>
              <w:jc w:val="center"/>
              <w:rPr>
                <w:color w:val="auto"/>
              </w:rPr>
            </w:pPr>
            <w:r w:rsidRPr="00502758">
              <w:rPr>
                <w:color w:val="auto"/>
              </w:rPr>
              <w:t>±4,49 ***</w:t>
            </w:r>
          </w:p>
        </w:tc>
      </w:tr>
      <w:tr w:rsidR="005E5569" w:rsidRPr="00E36026" w:rsidTr="00810BC2">
        <w:trPr>
          <w:trHeight w:val="448"/>
          <w:jc w:val="center"/>
        </w:trPr>
        <w:tc>
          <w:tcPr>
            <w:tcW w:w="2829" w:type="dxa"/>
            <w:vAlign w:val="center"/>
          </w:tcPr>
          <w:p w:rsidR="005E5569" w:rsidRPr="00502758" w:rsidRDefault="005E5569" w:rsidP="005B6AE2">
            <w:pPr>
              <w:pStyle w:val="Default"/>
              <w:jc w:val="center"/>
              <w:rPr>
                <w:color w:val="auto"/>
              </w:rPr>
            </w:pPr>
            <w:r w:rsidRPr="00502758">
              <w:rPr>
                <w:color w:val="auto"/>
              </w:rPr>
              <w:t>Xerostomía</w:t>
            </w:r>
          </w:p>
        </w:tc>
        <w:tc>
          <w:tcPr>
            <w:tcW w:w="821" w:type="dxa"/>
            <w:gridSpan w:val="2"/>
            <w:vAlign w:val="center"/>
          </w:tcPr>
          <w:p w:rsidR="005E5569" w:rsidRPr="00502758" w:rsidRDefault="005E5569" w:rsidP="005B6AE2">
            <w:pPr>
              <w:pStyle w:val="Default"/>
              <w:jc w:val="center"/>
              <w:rPr>
                <w:color w:val="auto"/>
              </w:rPr>
            </w:pPr>
            <w:r w:rsidRPr="00502758">
              <w:rPr>
                <w:color w:val="auto"/>
              </w:rPr>
              <w:t>30</w:t>
            </w:r>
          </w:p>
        </w:tc>
        <w:tc>
          <w:tcPr>
            <w:tcW w:w="1151" w:type="dxa"/>
            <w:vAlign w:val="center"/>
          </w:tcPr>
          <w:p w:rsidR="005E5569" w:rsidRPr="00502758" w:rsidRDefault="005E5569" w:rsidP="005B6AE2">
            <w:pPr>
              <w:pStyle w:val="Default"/>
              <w:rPr>
                <w:color w:val="auto"/>
              </w:rPr>
            </w:pPr>
            <w:r w:rsidRPr="00502758">
              <w:rPr>
                <w:color w:val="auto"/>
              </w:rPr>
              <w:t>27,27</w:t>
            </w:r>
          </w:p>
        </w:tc>
        <w:tc>
          <w:tcPr>
            <w:tcW w:w="863" w:type="dxa"/>
            <w:vAlign w:val="center"/>
          </w:tcPr>
          <w:p w:rsidR="005E5569" w:rsidRPr="00502758" w:rsidRDefault="005E5569" w:rsidP="005B6AE2">
            <w:pPr>
              <w:pStyle w:val="Default"/>
              <w:jc w:val="center"/>
              <w:rPr>
                <w:color w:val="auto"/>
              </w:rPr>
            </w:pPr>
            <w:r w:rsidRPr="00502758">
              <w:rPr>
                <w:color w:val="auto"/>
              </w:rPr>
              <w:t>40</w:t>
            </w:r>
          </w:p>
        </w:tc>
        <w:tc>
          <w:tcPr>
            <w:tcW w:w="1220" w:type="dxa"/>
            <w:vAlign w:val="center"/>
          </w:tcPr>
          <w:p w:rsidR="005E5569" w:rsidRPr="00502758" w:rsidRDefault="005E5569" w:rsidP="005B6AE2">
            <w:pPr>
              <w:pStyle w:val="Default"/>
              <w:rPr>
                <w:color w:val="auto"/>
              </w:rPr>
            </w:pPr>
            <w:r w:rsidRPr="00502758">
              <w:rPr>
                <w:color w:val="auto"/>
              </w:rPr>
              <w:t>36,36</w:t>
            </w:r>
          </w:p>
        </w:tc>
        <w:tc>
          <w:tcPr>
            <w:tcW w:w="1871" w:type="dxa"/>
            <w:gridSpan w:val="2"/>
            <w:vAlign w:val="center"/>
          </w:tcPr>
          <w:p w:rsidR="005E5569" w:rsidRPr="00502758" w:rsidRDefault="005E5569" w:rsidP="005B6AE2">
            <w:pPr>
              <w:pStyle w:val="Default"/>
              <w:jc w:val="center"/>
              <w:rPr>
                <w:color w:val="auto"/>
              </w:rPr>
            </w:pPr>
            <w:r w:rsidRPr="00502758">
              <w:rPr>
                <w:color w:val="auto"/>
              </w:rPr>
              <w:t>±4,</w:t>
            </w:r>
            <w:r>
              <w:rPr>
                <w:color w:val="auto"/>
              </w:rPr>
              <w:t>44</w:t>
            </w:r>
            <w:r w:rsidRPr="00502758">
              <w:rPr>
                <w:color w:val="auto"/>
              </w:rPr>
              <w:t xml:space="preserve"> NS</w:t>
            </w:r>
          </w:p>
        </w:tc>
      </w:tr>
      <w:tr w:rsidR="005E5569" w:rsidRPr="00E36026" w:rsidTr="00810BC2">
        <w:trPr>
          <w:jc w:val="center"/>
        </w:trPr>
        <w:tc>
          <w:tcPr>
            <w:tcW w:w="2829" w:type="dxa"/>
            <w:vAlign w:val="center"/>
          </w:tcPr>
          <w:p w:rsidR="005E5569" w:rsidRPr="00502758" w:rsidRDefault="005E5569" w:rsidP="005B6AE2">
            <w:pPr>
              <w:pStyle w:val="Default"/>
              <w:jc w:val="center"/>
              <w:rPr>
                <w:color w:val="auto"/>
              </w:rPr>
            </w:pPr>
            <w:r w:rsidRPr="00502758">
              <w:rPr>
                <w:color w:val="auto"/>
              </w:rPr>
              <w:t>Disgeusia (alteración del gusto)</w:t>
            </w:r>
          </w:p>
        </w:tc>
        <w:tc>
          <w:tcPr>
            <w:tcW w:w="821" w:type="dxa"/>
            <w:gridSpan w:val="2"/>
            <w:vAlign w:val="center"/>
          </w:tcPr>
          <w:p w:rsidR="005E5569" w:rsidRPr="00502758" w:rsidRDefault="005E5569" w:rsidP="005B6AE2">
            <w:pPr>
              <w:pStyle w:val="Default"/>
              <w:jc w:val="center"/>
              <w:rPr>
                <w:color w:val="auto"/>
              </w:rPr>
            </w:pPr>
            <w:r w:rsidRPr="00502758">
              <w:rPr>
                <w:color w:val="auto"/>
              </w:rPr>
              <w:t>5</w:t>
            </w:r>
          </w:p>
        </w:tc>
        <w:tc>
          <w:tcPr>
            <w:tcW w:w="1151" w:type="dxa"/>
            <w:vAlign w:val="center"/>
          </w:tcPr>
          <w:p w:rsidR="005E5569" w:rsidRPr="00502758" w:rsidRDefault="005E5569" w:rsidP="005B6AE2">
            <w:pPr>
              <w:pStyle w:val="Default"/>
              <w:jc w:val="center"/>
              <w:rPr>
                <w:color w:val="auto"/>
              </w:rPr>
            </w:pPr>
            <w:r w:rsidRPr="00502758">
              <w:rPr>
                <w:rFonts w:eastAsia="Times New Roman"/>
              </w:rPr>
              <w:t>4,55</w:t>
            </w:r>
            <w:r>
              <w:rPr>
                <w:rFonts w:eastAsia="Times New Roman"/>
              </w:rPr>
              <w:t xml:space="preserve"> b</w:t>
            </w:r>
          </w:p>
        </w:tc>
        <w:tc>
          <w:tcPr>
            <w:tcW w:w="863" w:type="dxa"/>
            <w:vAlign w:val="center"/>
          </w:tcPr>
          <w:p w:rsidR="005E5569" w:rsidRPr="00502758" w:rsidRDefault="005E5569" w:rsidP="005B6AE2">
            <w:pPr>
              <w:pStyle w:val="Default"/>
              <w:jc w:val="center"/>
              <w:rPr>
                <w:color w:val="auto"/>
              </w:rPr>
            </w:pPr>
            <w:r w:rsidRPr="00502758">
              <w:rPr>
                <w:color w:val="auto"/>
              </w:rPr>
              <w:t>18</w:t>
            </w:r>
          </w:p>
        </w:tc>
        <w:tc>
          <w:tcPr>
            <w:tcW w:w="1220" w:type="dxa"/>
            <w:vAlign w:val="center"/>
          </w:tcPr>
          <w:p w:rsidR="005E5569" w:rsidRPr="00502758" w:rsidRDefault="005E5569" w:rsidP="005B6AE2">
            <w:pPr>
              <w:pStyle w:val="Default"/>
              <w:rPr>
                <w:color w:val="auto"/>
              </w:rPr>
            </w:pPr>
            <w:r w:rsidRPr="00502758">
              <w:rPr>
                <w:rFonts w:eastAsia="Times New Roman"/>
              </w:rPr>
              <w:t>16,36</w:t>
            </w:r>
            <w:r>
              <w:rPr>
                <w:rFonts w:eastAsia="Times New Roman"/>
              </w:rPr>
              <w:t xml:space="preserve"> a</w:t>
            </w:r>
          </w:p>
        </w:tc>
        <w:tc>
          <w:tcPr>
            <w:tcW w:w="1871" w:type="dxa"/>
            <w:gridSpan w:val="2"/>
            <w:vAlign w:val="center"/>
          </w:tcPr>
          <w:p w:rsidR="005E5569" w:rsidRPr="00502758" w:rsidRDefault="005E5569" w:rsidP="005B6AE2">
            <w:pPr>
              <w:pStyle w:val="Default"/>
              <w:rPr>
                <w:color w:val="auto"/>
              </w:rPr>
            </w:pPr>
            <w:r w:rsidRPr="00502758">
              <w:rPr>
                <w:color w:val="auto"/>
              </w:rPr>
              <w:t>±2,9</w:t>
            </w:r>
            <w:r>
              <w:rPr>
                <w:color w:val="auto"/>
              </w:rPr>
              <w:t>1</w:t>
            </w:r>
            <w:r w:rsidRPr="00502758">
              <w:rPr>
                <w:color w:val="auto"/>
              </w:rPr>
              <w:t xml:space="preserve"> **</w:t>
            </w:r>
          </w:p>
        </w:tc>
      </w:tr>
      <w:tr w:rsidR="005E5569" w:rsidRPr="00E36026" w:rsidTr="00810BC2">
        <w:trPr>
          <w:jc w:val="center"/>
        </w:trPr>
        <w:tc>
          <w:tcPr>
            <w:tcW w:w="2829" w:type="dxa"/>
            <w:vAlign w:val="center"/>
          </w:tcPr>
          <w:p w:rsidR="005E5569" w:rsidRPr="00502758" w:rsidRDefault="005E5569" w:rsidP="005B6AE2">
            <w:pPr>
              <w:pStyle w:val="Default"/>
              <w:jc w:val="center"/>
              <w:rPr>
                <w:color w:val="auto"/>
              </w:rPr>
            </w:pPr>
            <w:r w:rsidRPr="00502758">
              <w:rPr>
                <w:color w:val="auto"/>
              </w:rPr>
              <w:t>Dolor ATM</w:t>
            </w:r>
          </w:p>
        </w:tc>
        <w:tc>
          <w:tcPr>
            <w:tcW w:w="821" w:type="dxa"/>
            <w:gridSpan w:val="2"/>
            <w:vAlign w:val="center"/>
          </w:tcPr>
          <w:p w:rsidR="005E5569" w:rsidRPr="00502758" w:rsidRDefault="005E5569" w:rsidP="005B6AE2">
            <w:pPr>
              <w:pStyle w:val="Default"/>
              <w:jc w:val="center"/>
              <w:rPr>
                <w:color w:val="auto"/>
              </w:rPr>
            </w:pPr>
            <w:r w:rsidRPr="00502758">
              <w:rPr>
                <w:color w:val="auto"/>
              </w:rPr>
              <w:t>20</w:t>
            </w:r>
          </w:p>
        </w:tc>
        <w:tc>
          <w:tcPr>
            <w:tcW w:w="1151" w:type="dxa"/>
            <w:vAlign w:val="center"/>
          </w:tcPr>
          <w:p w:rsidR="005E5569" w:rsidRPr="00502758" w:rsidRDefault="005E5569" w:rsidP="005B6AE2">
            <w:pPr>
              <w:pStyle w:val="Default"/>
              <w:rPr>
                <w:color w:val="auto"/>
              </w:rPr>
            </w:pPr>
            <w:r w:rsidRPr="00502758">
              <w:rPr>
                <w:color w:val="auto"/>
              </w:rPr>
              <w:t>18,18</w:t>
            </w:r>
          </w:p>
        </w:tc>
        <w:tc>
          <w:tcPr>
            <w:tcW w:w="863" w:type="dxa"/>
            <w:vAlign w:val="center"/>
          </w:tcPr>
          <w:p w:rsidR="005E5569" w:rsidRPr="00502758" w:rsidRDefault="005E5569" w:rsidP="005B6AE2">
            <w:pPr>
              <w:pStyle w:val="Default"/>
              <w:jc w:val="center"/>
              <w:rPr>
                <w:color w:val="auto"/>
              </w:rPr>
            </w:pPr>
            <w:r w:rsidRPr="00502758">
              <w:rPr>
                <w:color w:val="auto"/>
              </w:rPr>
              <w:t>25</w:t>
            </w:r>
          </w:p>
        </w:tc>
        <w:tc>
          <w:tcPr>
            <w:tcW w:w="1220" w:type="dxa"/>
            <w:vAlign w:val="center"/>
          </w:tcPr>
          <w:p w:rsidR="005E5569" w:rsidRPr="00502758" w:rsidRDefault="005E5569" w:rsidP="005B6AE2">
            <w:pPr>
              <w:pStyle w:val="Default"/>
              <w:rPr>
                <w:color w:val="auto"/>
              </w:rPr>
            </w:pPr>
            <w:r w:rsidRPr="00502758">
              <w:rPr>
                <w:color w:val="auto"/>
              </w:rPr>
              <w:t>22,73</w:t>
            </w:r>
          </w:p>
        </w:tc>
        <w:tc>
          <w:tcPr>
            <w:tcW w:w="1871" w:type="dxa"/>
            <w:gridSpan w:val="2"/>
            <w:vAlign w:val="center"/>
          </w:tcPr>
          <w:p w:rsidR="005E5569" w:rsidRPr="00502758" w:rsidRDefault="005E5569" w:rsidP="005B6AE2">
            <w:pPr>
              <w:pStyle w:val="Default"/>
              <w:jc w:val="center"/>
              <w:rPr>
                <w:color w:val="auto"/>
              </w:rPr>
            </w:pPr>
            <w:r w:rsidRPr="00502758">
              <w:rPr>
                <w:color w:val="auto"/>
              </w:rPr>
              <w:t>±3,85 NS</w:t>
            </w:r>
          </w:p>
        </w:tc>
      </w:tr>
      <w:tr w:rsidR="005E5569" w:rsidRPr="00E36026" w:rsidTr="00810BC2">
        <w:trPr>
          <w:jc w:val="center"/>
        </w:trPr>
        <w:tc>
          <w:tcPr>
            <w:tcW w:w="2829" w:type="dxa"/>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color w:val="000000"/>
                <w:sz w:val="24"/>
                <w:szCs w:val="24"/>
              </w:rPr>
              <w:t>Reabsorción del reborde residual</w:t>
            </w:r>
          </w:p>
        </w:tc>
        <w:tc>
          <w:tcPr>
            <w:tcW w:w="821" w:type="dxa"/>
            <w:gridSpan w:val="2"/>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color w:val="000000"/>
                <w:sz w:val="24"/>
                <w:szCs w:val="24"/>
              </w:rPr>
              <w:t>6</w:t>
            </w:r>
          </w:p>
        </w:tc>
        <w:tc>
          <w:tcPr>
            <w:tcW w:w="1151" w:type="dxa"/>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color w:val="000000"/>
                <w:sz w:val="24"/>
                <w:szCs w:val="24"/>
              </w:rPr>
              <w:t>5,45</w:t>
            </w:r>
            <w:r>
              <w:rPr>
                <w:rFonts w:ascii="Arial" w:hAnsi="Arial" w:cs="Arial"/>
                <w:color w:val="000000"/>
                <w:sz w:val="24"/>
                <w:szCs w:val="24"/>
              </w:rPr>
              <w:t xml:space="preserve"> b</w:t>
            </w:r>
          </w:p>
        </w:tc>
        <w:tc>
          <w:tcPr>
            <w:tcW w:w="863" w:type="dxa"/>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color w:val="000000"/>
                <w:sz w:val="24"/>
                <w:szCs w:val="24"/>
              </w:rPr>
              <w:t>24</w:t>
            </w:r>
          </w:p>
        </w:tc>
        <w:tc>
          <w:tcPr>
            <w:tcW w:w="1220" w:type="dxa"/>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color w:val="000000"/>
                <w:sz w:val="24"/>
                <w:szCs w:val="24"/>
              </w:rPr>
              <w:t>21,82</w:t>
            </w:r>
            <w:r>
              <w:rPr>
                <w:rFonts w:ascii="Arial" w:hAnsi="Arial" w:cs="Arial"/>
                <w:color w:val="000000"/>
                <w:sz w:val="24"/>
                <w:szCs w:val="24"/>
              </w:rPr>
              <w:t xml:space="preserve"> a</w:t>
            </w:r>
          </w:p>
        </w:tc>
        <w:tc>
          <w:tcPr>
            <w:tcW w:w="1871" w:type="dxa"/>
            <w:gridSpan w:val="2"/>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sz w:val="24"/>
                <w:szCs w:val="24"/>
              </w:rPr>
              <w:t>±3,27 ***</w:t>
            </w:r>
          </w:p>
        </w:tc>
      </w:tr>
      <w:tr w:rsidR="005E5569" w:rsidRPr="00E36026" w:rsidTr="00810BC2">
        <w:trPr>
          <w:jc w:val="center"/>
        </w:trPr>
        <w:tc>
          <w:tcPr>
            <w:tcW w:w="2829" w:type="dxa"/>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sz w:val="24"/>
                <w:szCs w:val="24"/>
              </w:rPr>
              <w:t>Lesiones eritematosas y blanquecinas</w:t>
            </w:r>
          </w:p>
        </w:tc>
        <w:tc>
          <w:tcPr>
            <w:tcW w:w="821" w:type="dxa"/>
            <w:gridSpan w:val="2"/>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color w:val="000000"/>
                <w:sz w:val="24"/>
                <w:szCs w:val="24"/>
              </w:rPr>
              <w:t>4</w:t>
            </w:r>
          </w:p>
        </w:tc>
        <w:tc>
          <w:tcPr>
            <w:tcW w:w="1151" w:type="dxa"/>
            <w:vAlign w:val="center"/>
          </w:tcPr>
          <w:p w:rsidR="005E5569" w:rsidRPr="00502758" w:rsidRDefault="005E5569" w:rsidP="005B6AE2">
            <w:pPr>
              <w:autoSpaceDE w:val="0"/>
              <w:autoSpaceDN w:val="0"/>
              <w:adjustRightInd w:val="0"/>
              <w:spacing w:line="240" w:lineRule="auto"/>
              <w:rPr>
                <w:rFonts w:ascii="Arial" w:hAnsi="Arial" w:cs="Arial"/>
                <w:color w:val="000000"/>
                <w:sz w:val="24"/>
                <w:szCs w:val="24"/>
              </w:rPr>
            </w:pPr>
            <w:r w:rsidRPr="00502758">
              <w:rPr>
                <w:rFonts w:ascii="Arial" w:hAnsi="Arial" w:cs="Arial"/>
                <w:color w:val="000000"/>
                <w:sz w:val="24"/>
                <w:szCs w:val="24"/>
              </w:rPr>
              <w:t>3,64</w:t>
            </w:r>
          </w:p>
        </w:tc>
        <w:tc>
          <w:tcPr>
            <w:tcW w:w="863" w:type="dxa"/>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color w:val="000000"/>
                <w:sz w:val="24"/>
                <w:szCs w:val="24"/>
              </w:rPr>
              <w:t>4</w:t>
            </w:r>
          </w:p>
        </w:tc>
        <w:tc>
          <w:tcPr>
            <w:tcW w:w="1220" w:type="dxa"/>
            <w:vAlign w:val="center"/>
          </w:tcPr>
          <w:p w:rsidR="005E5569" w:rsidRPr="00502758" w:rsidRDefault="005E5569" w:rsidP="005B6AE2">
            <w:pPr>
              <w:autoSpaceDE w:val="0"/>
              <w:autoSpaceDN w:val="0"/>
              <w:adjustRightInd w:val="0"/>
              <w:spacing w:line="240" w:lineRule="auto"/>
              <w:rPr>
                <w:rFonts w:ascii="Arial" w:hAnsi="Arial" w:cs="Arial"/>
                <w:color w:val="000000"/>
                <w:sz w:val="24"/>
                <w:szCs w:val="24"/>
              </w:rPr>
            </w:pPr>
            <w:r w:rsidRPr="00502758">
              <w:rPr>
                <w:rFonts w:ascii="Arial" w:hAnsi="Arial" w:cs="Arial"/>
                <w:color w:val="000000"/>
                <w:sz w:val="24"/>
                <w:szCs w:val="24"/>
              </w:rPr>
              <w:t>3,64</w:t>
            </w:r>
          </w:p>
        </w:tc>
        <w:tc>
          <w:tcPr>
            <w:tcW w:w="1871" w:type="dxa"/>
            <w:gridSpan w:val="2"/>
            <w:vAlign w:val="center"/>
          </w:tcPr>
          <w:p w:rsidR="005E5569" w:rsidRPr="00502758" w:rsidRDefault="005E5569" w:rsidP="005B6AE2">
            <w:pPr>
              <w:autoSpaceDE w:val="0"/>
              <w:autoSpaceDN w:val="0"/>
              <w:adjustRightInd w:val="0"/>
              <w:spacing w:line="240" w:lineRule="auto"/>
              <w:jc w:val="center"/>
              <w:rPr>
                <w:rFonts w:ascii="Arial" w:hAnsi="Arial" w:cs="Arial"/>
                <w:color w:val="000000"/>
                <w:sz w:val="24"/>
                <w:szCs w:val="24"/>
              </w:rPr>
            </w:pPr>
            <w:r w:rsidRPr="00502758">
              <w:rPr>
                <w:rFonts w:ascii="Arial" w:hAnsi="Arial" w:cs="Arial"/>
                <w:sz w:val="24"/>
                <w:szCs w:val="24"/>
              </w:rPr>
              <w:t>±1,78 NS</w:t>
            </w:r>
          </w:p>
        </w:tc>
      </w:tr>
    </w:tbl>
    <w:p w:rsidR="005E5569" w:rsidRDefault="005E5569" w:rsidP="005B6AE2">
      <w:pPr>
        <w:spacing w:line="240" w:lineRule="auto"/>
        <w:jc w:val="center"/>
        <w:rPr>
          <w:rFonts w:ascii="Arial" w:hAnsi="Arial" w:cs="Arial"/>
          <w:sz w:val="24"/>
          <w:szCs w:val="24"/>
        </w:rPr>
      </w:pPr>
      <w:r w:rsidRPr="00F34070">
        <w:rPr>
          <w:rFonts w:ascii="Arial" w:hAnsi="Arial" w:cs="Arial"/>
          <w:sz w:val="24"/>
          <w:szCs w:val="24"/>
        </w:rPr>
        <w:t>Fuente</w:t>
      </w:r>
      <w:r>
        <w:rPr>
          <w:rFonts w:ascii="Arial" w:hAnsi="Arial" w:cs="Arial"/>
          <w:sz w:val="24"/>
          <w:szCs w:val="24"/>
        </w:rPr>
        <w:t>: HSBF, ASS</w:t>
      </w:r>
    </w:p>
    <w:p w:rsidR="005E5569" w:rsidRPr="00652ED4" w:rsidRDefault="005E5569" w:rsidP="005B6AE2">
      <w:pPr>
        <w:pStyle w:val="Sinespaciado"/>
        <w:ind w:left="-142"/>
        <w:rPr>
          <w:rFonts w:ascii="Arial" w:hAnsi="Arial" w:cs="Arial"/>
          <w:sz w:val="24"/>
          <w:szCs w:val="24"/>
        </w:rPr>
      </w:pPr>
      <w:r w:rsidRPr="00652ED4">
        <w:rPr>
          <w:rFonts w:ascii="Arial" w:hAnsi="Arial" w:cs="Arial"/>
          <w:sz w:val="24"/>
          <w:szCs w:val="24"/>
        </w:rPr>
        <w:t>EE: Error estándar</w:t>
      </w:r>
    </w:p>
    <w:p w:rsidR="005E5569" w:rsidRPr="00652ED4" w:rsidRDefault="005E5569" w:rsidP="005B6AE2">
      <w:pPr>
        <w:pStyle w:val="Sinespaciado"/>
        <w:ind w:left="-142"/>
        <w:rPr>
          <w:rFonts w:ascii="Arial" w:hAnsi="Arial" w:cs="Arial"/>
          <w:sz w:val="24"/>
          <w:szCs w:val="24"/>
        </w:rPr>
      </w:pPr>
      <w:proofErr w:type="spellStart"/>
      <w:r w:rsidRPr="00652ED4">
        <w:rPr>
          <w:rFonts w:ascii="Arial" w:hAnsi="Arial" w:cs="Arial"/>
          <w:sz w:val="24"/>
          <w:szCs w:val="24"/>
        </w:rPr>
        <w:t>Sign</w:t>
      </w:r>
      <w:proofErr w:type="spellEnd"/>
      <w:r w:rsidRPr="00652ED4">
        <w:rPr>
          <w:rFonts w:ascii="Arial" w:hAnsi="Arial" w:cs="Arial"/>
          <w:sz w:val="24"/>
          <w:szCs w:val="24"/>
        </w:rPr>
        <w:t xml:space="preserve">: Significación estadística </w:t>
      </w:r>
    </w:p>
    <w:p w:rsidR="005E5569" w:rsidRPr="00652ED4" w:rsidRDefault="005E5569" w:rsidP="005B6AE2">
      <w:pPr>
        <w:pStyle w:val="Sinespaciado"/>
        <w:ind w:left="-142"/>
        <w:rPr>
          <w:rFonts w:ascii="Arial" w:hAnsi="Arial" w:cs="Arial"/>
          <w:sz w:val="24"/>
          <w:szCs w:val="24"/>
        </w:rPr>
      </w:pPr>
      <w:r w:rsidRPr="00652ED4">
        <w:rPr>
          <w:rFonts w:ascii="Arial" w:hAnsi="Arial" w:cs="Arial"/>
          <w:sz w:val="24"/>
          <w:szCs w:val="24"/>
        </w:rPr>
        <w:t>***P&lt;0,0</w:t>
      </w:r>
      <w:r>
        <w:rPr>
          <w:rFonts w:ascii="Arial" w:hAnsi="Arial" w:cs="Arial"/>
          <w:sz w:val="24"/>
          <w:szCs w:val="24"/>
        </w:rPr>
        <w:t>0</w:t>
      </w:r>
      <w:r w:rsidRPr="00652ED4">
        <w:rPr>
          <w:rFonts w:ascii="Arial" w:hAnsi="Arial" w:cs="Arial"/>
          <w:sz w:val="24"/>
          <w:szCs w:val="24"/>
        </w:rPr>
        <w:t>1</w:t>
      </w:r>
    </w:p>
    <w:p w:rsidR="005E5569" w:rsidRDefault="005E5569" w:rsidP="005B6AE2">
      <w:pPr>
        <w:spacing w:after="0" w:line="240" w:lineRule="auto"/>
        <w:ind w:left="-142"/>
        <w:rPr>
          <w:rFonts w:ascii="Arial" w:hAnsi="Arial" w:cs="Arial"/>
          <w:sz w:val="24"/>
          <w:szCs w:val="24"/>
        </w:rPr>
      </w:pPr>
      <w:r w:rsidRPr="00652ED4">
        <w:rPr>
          <w:rFonts w:ascii="Arial" w:hAnsi="Arial" w:cs="Arial"/>
          <w:sz w:val="24"/>
          <w:szCs w:val="24"/>
        </w:rPr>
        <w:t xml:space="preserve">a, </w:t>
      </w:r>
      <w:proofErr w:type="spellStart"/>
      <w:r w:rsidRPr="00652ED4">
        <w:rPr>
          <w:rFonts w:ascii="Arial" w:hAnsi="Arial" w:cs="Arial"/>
          <w:sz w:val="24"/>
          <w:szCs w:val="24"/>
        </w:rPr>
        <w:t>bSuperíndices</w:t>
      </w:r>
      <w:proofErr w:type="spellEnd"/>
      <w:r w:rsidRPr="00652ED4">
        <w:rPr>
          <w:rFonts w:ascii="Arial" w:hAnsi="Arial" w:cs="Arial"/>
          <w:sz w:val="24"/>
          <w:szCs w:val="24"/>
        </w:rPr>
        <w:t xml:space="preserve"> diferentes indican diferencias significativas según Duncan (1955)</w:t>
      </w:r>
    </w:p>
    <w:p w:rsidR="005E5569" w:rsidRDefault="005E5569" w:rsidP="005B6AE2">
      <w:pPr>
        <w:pStyle w:val="Default"/>
        <w:jc w:val="both"/>
      </w:pPr>
    </w:p>
    <w:p w:rsidR="005E5569" w:rsidRPr="00504760" w:rsidRDefault="00504760" w:rsidP="005B6AE2">
      <w:pPr>
        <w:pStyle w:val="Default"/>
        <w:jc w:val="both"/>
        <w:rPr>
          <w:b/>
        </w:rPr>
      </w:pPr>
      <w:r w:rsidRPr="00504760">
        <w:rPr>
          <w:b/>
        </w:rPr>
        <w:t>DISCUSIÓN</w:t>
      </w:r>
    </w:p>
    <w:p w:rsidR="00504760" w:rsidRDefault="00504760" w:rsidP="005B6AE2">
      <w:pPr>
        <w:spacing w:line="240" w:lineRule="auto"/>
        <w:jc w:val="both"/>
        <w:rPr>
          <w:rFonts w:ascii="Arial" w:hAnsi="Arial" w:cs="Arial"/>
          <w:sz w:val="24"/>
          <w:szCs w:val="24"/>
        </w:rPr>
      </w:pPr>
      <w:r>
        <w:rPr>
          <w:rFonts w:ascii="Arial" w:hAnsi="Arial" w:cs="Arial"/>
          <w:sz w:val="24"/>
          <w:szCs w:val="24"/>
        </w:rPr>
        <w:t xml:space="preserve">En este estudio según edad de aparición predominó la menopausia natural que se consideró entre los 40-55 años de edad, resultados que coinciden con otros </w:t>
      </w:r>
      <w:r w:rsidRPr="00377B72">
        <w:rPr>
          <w:rFonts w:ascii="Arial" w:hAnsi="Arial" w:cs="Arial"/>
          <w:sz w:val="24"/>
          <w:szCs w:val="24"/>
        </w:rPr>
        <w:t>estudios precedentes</w:t>
      </w:r>
      <w:r w:rsidR="00810BC2">
        <w:rPr>
          <w:rFonts w:ascii="Arial" w:hAnsi="Arial" w:cs="Arial"/>
          <w:sz w:val="24"/>
          <w:szCs w:val="24"/>
          <w:vertAlign w:val="superscript"/>
        </w:rPr>
        <w:t>1</w:t>
      </w:r>
      <w:r w:rsidRPr="00377B72">
        <w:rPr>
          <w:rFonts w:ascii="Arial" w:hAnsi="Arial" w:cs="Arial"/>
          <w:sz w:val="24"/>
          <w:szCs w:val="24"/>
        </w:rPr>
        <w:t xml:space="preserve"> que refieren que la edad de la menopausia es variable (entre los 35 y 55 años), aunque puede aparecer como promedio a los 50 años de edad y que por debajo de los 40 años se considera como prematura. </w:t>
      </w:r>
    </w:p>
    <w:p w:rsidR="00504760" w:rsidRDefault="00504760" w:rsidP="005B6AE2">
      <w:pPr>
        <w:spacing w:line="240" w:lineRule="auto"/>
        <w:jc w:val="both"/>
        <w:rPr>
          <w:rFonts w:ascii="Arial" w:eastAsia="Times New Roman" w:hAnsi="Arial" w:cs="Arial"/>
          <w:sz w:val="24"/>
          <w:szCs w:val="24"/>
        </w:rPr>
      </w:pPr>
      <w:r>
        <w:rPr>
          <w:rFonts w:ascii="Arial" w:hAnsi="Arial" w:cs="Arial"/>
          <w:sz w:val="24"/>
          <w:szCs w:val="24"/>
        </w:rPr>
        <w:t>Otros estudios realizados</w:t>
      </w:r>
      <w:r w:rsidR="006369FA">
        <w:rPr>
          <w:rFonts w:ascii="Arial" w:hAnsi="Arial" w:cs="Arial"/>
          <w:sz w:val="24"/>
          <w:szCs w:val="24"/>
          <w:vertAlign w:val="superscript"/>
        </w:rPr>
        <w:t>8</w:t>
      </w:r>
      <w:r>
        <w:rPr>
          <w:rFonts w:ascii="Arial" w:hAnsi="Arial" w:cs="Arial"/>
          <w:sz w:val="24"/>
          <w:szCs w:val="24"/>
        </w:rPr>
        <w:t xml:space="preserve"> reflejan que e</w:t>
      </w:r>
      <w:r w:rsidRPr="00582B29">
        <w:rPr>
          <w:rFonts w:ascii="Arial" w:eastAsia="Times New Roman" w:hAnsi="Arial" w:cs="Arial"/>
          <w:sz w:val="24"/>
          <w:szCs w:val="24"/>
        </w:rPr>
        <w:t>l promedio de menopausia, en la mayoría de los países que llevan re</w:t>
      </w:r>
      <w:r>
        <w:rPr>
          <w:rFonts w:ascii="Arial" w:eastAsia="Times New Roman" w:hAnsi="Arial" w:cs="Arial"/>
          <w:sz w:val="24"/>
          <w:szCs w:val="24"/>
        </w:rPr>
        <w:t>gistros de salud, es de 48 años, e</w:t>
      </w:r>
      <w:r w:rsidRPr="00582B29">
        <w:rPr>
          <w:rFonts w:ascii="Arial" w:eastAsia="Times New Roman" w:hAnsi="Arial" w:cs="Arial"/>
          <w:sz w:val="24"/>
          <w:szCs w:val="24"/>
        </w:rPr>
        <w:t>n Espa</w:t>
      </w:r>
      <w:r>
        <w:rPr>
          <w:rFonts w:ascii="Arial" w:eastAsia="Times New Roman" w:hAnsi="Arial" w:cs="Arial"/>
          <w:sz w:val="24"/>
          <w:szCs w:val="24"/>
        </w:rPr>
        <w:t>ña es a partir de los 50 años, e</w:t>
      </w:r>
      <w:r w:rsidRPr="00582B29">
        <w:rPr>
          <w:rFonts w:ascii="Arial" w:eastAsia="Times New Roman" w:hAnsi="Arial" w:cs="Arial"/>
          <w:sz w:val="24"/>
          <w:szCs w:val="24"/>
        </w:rPr>
        <w:t xml:space="preserve">n Estados Unidos y Europa se presenta hacia los 50 años de edad y en México hacia los 47 </w:t>
      </w:r>
      <w:r>
        <w:rPr>
          <w:rFonts w:ascii="Arial" w:eastAsia="Times New Roman" w:hAnsi="Arial" w:cs="Arial"/>
          <w:sz w:val="24"/>
          <w:szCs w:val="24"/>
        </w:rPr>
        <w:t>como</w:t>
      </w:r>
      <w:r w:rsidRPr="00582B29">
        <w:rPr>
          <w:rFonts w:ascii="Arial" w:eastAsia="Times New Roman" w:hAnsi="Arial" w:cs="Arial"/>
          <w:sz w:val="24"/>
          <w:szCs w:val="24"/>
        </w:rPr>
        <w:t xml:space="preserve"> promedio, aunque puede</w:t>
      </w:r>
      <w:r>
        <w:rPr>
          <w:rFonts w:ascii="Arial" w:eastAsia="Times New Roman" w:hAnsi="Arial" w:cs="Arial"/>
          <w:sz w:val="24"/>
          <w:szCs w:val="24"/>
        </w:rPr>
        <w:t xml:space="preserve"> suceder entre los 42 y 52 años, en Venezuela es de 48 años al </w:t>
      </w:r>
      <w:r w:rsidRPr="00582B29">
        <w:rPr>
          <w:rFonts w:ascii="Arial" w:eastAsia="Times New Roman" w:hAnsi="Arial" w:cs="Arial"/>
          <w:sz w:val="24"/>
          <w:szCs w:val="24"/>
        </w:rPr>
        <w:t>igual que en Cuba</w:t>
      </w:r>
      <w:r>
        <w:rPr>
          <w:rFonts w:ascii="Arial" w:eastAsia="Times New Roman" w:hAnsi="Arial" w:cs="Arial"/>
          <w:sz w:val="24"/>
          <w:szCs w:val="24"/>
        </w:rPr>
        <w:t>.</w:t>
      </w:r>
    </w:p>
    <w:p w:rsidR="00504760" w:rsidRDefault="00504760" w:rsidP="005B6AE2">
      <w:pPr>
        <w:spacing w:line="240" w:lineRule="auto"/>
        <w:jc w:val="both"/>
        <w:rPr>
          <w:rFonts w:ascii="Arial" w:eastAsia="Calibri" w:hAnsi="Arial" w:cs="Arial"/>
          <w:sz w:val="24"/>
          <w:szCs w:val="24"/>
          <w:vertAlign w:val="superscript"/>
        </w:rPr>
      </w:pPr>
      <w:r>
        <w:rPr>
          <w:rFonts w:ascii="Arial" w:hAnsi="Arial" w:cs="Arial"/>
          <w:sz w:val="24"/>
          <w:szCs w:val="24"/>
        </w:rPr>
        <w:t>L</w:t>
      </w:r>
      <w:r w:rsidRPr="00302C96">
        <w:rPr>
          <w:rFonts w:ascii="Arial" w:hAnsi="Arial" w:cs="Arial"/>
          <w:sz w:val="24"/>
          <w:szCs w:val="24"/>
        </w:rPr>
        <w:t xml:space="preserve">as enfermedades y/o manifestaciones clínicas bucales </w:t>
      </w:r>
      <w:r>
        <w:rPr>
          <w:rFonts w:ascii="Arial" w:hAnsi="Arial" w:cs="Arial"/>
          <w:sz w:val="24"/>
          <w:szCs w:val="24"/>
        </w:rPr>
        <w:t xml:space="preserve">que prevalecieron en esta investigación se pueden atribuir a que en  esta etapa de la vida de la mujer comienzan a producirse cambios hormonales que producen efectos colaterales en la cavidad bucal, resultado que concuerda con </w:t>
      </w:r>
      <w:r>
        <w:rPr>
          <w:rFonts w:ascii="Arial" w:eastAsia="Calibri" w:hAnsi="Arial" w:cs="Arial"/>
          <w:sz w:val="24"/>
          <w:szCs w:val="24"/>
        </w:rPr>
        <w:t xml:space="preserve">un </w:t>
      </w:r>
      <w:r w:rsidRPr="000F4CBD">
        <w:rPr>
          <w:rFonts w:ascii="Arial" w:eastAsia="Calibri" w:hAnsi="Arial" w:cs="Arial"/>
          <w:sz w:val="24"/>
          <w:szCs w:val="24"/>
        </w:rPr>
        <w:t>estudio realizado</w:t>
      </w:r>
      <w:r w:rsidR="006369FA">
        <w:rPr>
          <w:rFonts w:ascii="Arial" w:eastAsia="Calibri" w:hAnsi="Arial" w:cs="Arial"/>
          <w:sz w:val="24"/>
          <w:szCs w:val="24"/>
          <w:vertAlign w:val="superscript"/>
        </w:rPr>
        <w:t>9</w:t>
      </w:r>
      <w:r w:rsidRPr="00CB597E">
        <w:rPr>
          <w:rFonts w:ascii="Arial" w:eastAsia="Calibri" w:hAnsi="Arial" w:cs="Arial"/>
          <w:sz w:val="24"/>
          <w:szCs w:val="24"/>
        </w:rPr>
        <w:t>sobre la relación enferm</w:t>
      </w:r>
      <w:r>
        <w:rPr>
          <w:rFonts w:ascii="Arial" w:eastAsia="Calibri" w:hAnsi="Arial" w:cs="Arial"/>
          <w:sz w:val="24"/>
          <w:szCs w:val="24"/>
        </w:rPr>
        <w:t>edad periodontal-menopausia que reflejó</w:t>
      </w:r>
      <w:r w:rsidRPr="00CB597E">
        <w:rPr>
          <w:rFonts w:ascii="Arial" w:eastAsia="Calibri" w:hAnsi="Arial" w:cs="Arial"/>
          <w:sz w:val="24"/>
          <w:szCs w:val="24"/>
        </w:rPr>
        <w:t xml:space="preserve"> que la pérdida de densidad ósea </w:t>
      </w:r>
      <w:proofErr w:type="spellStart"/>
      <w:r w:rsidRPr="00CB597E">
        <w:rPr>
          <w:rFonts w:ascii="Arial" w:eastAsia="Calibri" w:hAnsi="Arial" w:cs="Arial"/>
          <w:sz w:val="24"/>
          <w:szCs w:val="24"/>
        </w:rPr>
        <w:t>esqueletal</w:t>
      </w:r>
      <w:proofErr w:type="spellEnd"/>
      <w:r w:rsidRPr="00CB597E">
        <w:rPr>
          <w:rFonts w:ascii="Arial" w:eastAsia="Calibri" w:hAnsi="Arial" w:cs="Arial"/>
          <w:sz w:val="24"/>
          <w:szCs w:val="24"/>
        </w:rPr>
        <w:t xml:space="preserve"> está relacionada con las pérdidas de soporte periodontal en las zonas </w:t>
      </w:r>
      <w:proofErr w:type="spellStart"/>
      <w:r w:rsidRPr="00CB597E">
        <w:rPr>
          <w:rFonts w:ascii="Arial" w:eastAsia="Calibri" w:hAnsi="Arial" w:cs="Arial"/>
          <w:sz w:val="24"/>
          <w:szCs w:val="24"/>
        </w:rPr>
        <w:t>interproximales</w:t>
      </w:r>
      <w:proofErr w:type="spellEnd"/>
      <w:r w:rsidRPr="00CB597E">
        <w:rPr>
          <w:rFonts w:ascii="Arial" w:eastAsia="Calibri" w:hAnsi="Arial" w:cs="Arial"/>
          <w:sz w:val="24"/>
          <w:szCs w:val="24"/>
        </w:rPr>
        <w:t>, analizadas como pérdida clínica de inserción, implicando a la osteopenia postmenopáusica como indicador de riesgo de la enfermedad periodontal en las mujeres</w:t>
      </w:r>
      <w:r>
        <w:rPr>
          <w:rFonts w:ascii="Arial" w:eastAsia="Calibri" w:hAnsi="Arial" w:cs="Arial"/>
          <w:sz w:val="24"/>
          <w:szCs w:val="24"/>
        </w:rPr>
        <w:t xml:space="preserve">, siendo  </w:t>
      </w:r>
      <w:r>
        <w:rPr>
          <w:rFonts w:ascii="Arial" w:hAnsi="Arial" w:cs="Arial"/>
          <w:sz w:val="24"/>
          <w:szCs w:val="24"/>
        </w:rPr>
        <w:t>la movilidad dentaria y la recesión gingival</w:t>
      </w:r>
      <w:r>
        <w:rPr>
          <w:rFonts w:ascii="Arial" w:eastAsia="Calibri" w:hAnsi="Arial" w:cs="Arial"/>
          <w:sz w:val="24"/>
          <w:szCs w:val="24"/>
        </w:rPr>
        <w:t xml:space="preserve"> las</w:t>
      </w:r>
      <w:r>
        <w:rPr>
          <w:rFonts w:ascii="Arial" w:hAnsi="Arial" w:cs="Arial"/>
          <w:color w:val="000000"/>
          <w:sz w:val="24"/>
          <w:szCs w:val="24"/>
        </w:rPr>
        <w:t xml:space="preserve"> m</w:t>
      </w:r>
      <w:r w:rsidRPr="005F1EBD">
        <w:rPr>
          <w:rFonts w:ascii="Arial" w:hAnsi="Arial" w:cs="Arial"/>
          <w:color w:val="000000"/>
          <w:sz w:val="24"/>
          <w:szCs w:val="24"/>
        </w:rPr>
        <w:t>anifestacione</w:t>
      </w:r>
      <w:r>
        <w:rPr>
          <w:rFonts w:ascii="Arial" w:hAnsi="Arial" w:cs="Arial"/>
          <w:color w:val="000000"/>
          <w:sz w:val="24"/>
          <w:szCs w:val="24"/>
        </w:rPr>
        <w:t>s</w:t>
      </w:r>
      <w:r w:rsidRPr="005F1EBD">
        <w:rPr>
          <w:rFonts w:ascii="Arial" w:hAnsi="Arial" w:cs="Arial"/>
          <w:color w:val="000000"/>
          <w:sz w:val="24"/>
          <w:szCs w:val="24"/>
        </w:rPr>
        <w:t xml:space="preserve"> clínicas </w:t>
      </w:r>
      <w:r>
        <w:rPr>
          <w:rFonts w:ascii="Arial" w:hAnsi="Arial" w:cs="Arial"/>
          <w:color w:val="000000"/>
          <w:sz w:val="24"/>
          <w:szCs w:val="24"/>
        </w:rPr>
        <w:t xml:space="preserve">periodontales </w:t>
      </w:r>
      <w:r>
        <w:rPr>
          <w:rFonts w:ascii="Arial" w:hAnsi="Arial" w:cs="Arial"/>
          <w:sz w:val="24"/>
          <w:szCs w:val="24"/>
        </w:rPr>
        <w:t xml:space="preserve">predominantes. </w:t>
      </w:r>
    </w:p>
    <w:p w:rsidR="00504760" w:rsidRPr="00103816" w:rsidRDefault="00504760" w:rsidP="005B6AE2">
      <w:pPr>
        <w:spacing w:line="240" w:lineRule="auto"/>
        <w:jc w:val="both"/>
        <w:rPr>
          <w:rFonts w:ascii="Arial" w:hAnsi="Arial" w:cs="Arial"/>
          <w:sz w:val="24"/>
          <w:szCs w:val="24"/>
        </w:rPr>
      </w:pPr>
      <w:r w:rsidRPr="00103816">
        <w:rPr>
          <w:rFonts w:ascii="Arial" w:eastAsia="Calibri" w:hAnsi="Arial" w:cs="Arial"/>
          <w:sz w:val="24"/>
          <w:szCs w:val="24"/>
        </w:rPr>
        <w:t>Es oportuno plantear que en la bibliografía consultada relacionada con esta temática</w:t>
      </w:r>
      <w:r>
        <w:rPr>
          <w:rFonts w:ascii="Arial" w:eastAsia="Calibri" w:hAnsi="Arial" w:cs="Arial"/>
          <w:sz w:val="24"/>
          <w:szCs w:val="24"/>
        </w:rPr>
        <w:t>,</w:t>
      </w:r>
      <w:r w:rsidRPr="00103816">
        <w:rPr>
          <w:rFonts w:ascii="Arial" w:eastAsia="Calibri" w:hAnsi="Arial" w:cs="Arial"/>
          <w:sz w:val="24"/>
          <w:szCs w:val="24"/>
        </w:rPr>
        <w:t xml:space="preserve"> se encontraron pocos estudiospara comparar con las variables </w:t>
      </w:r>
      <w:proofErr w:type="spellStart"/>
      <w:r w:rsidRPr="00103816">
        <w:rPr>
          <w:rFonts w:ascii="Arial" w:eastAsia="Calibri" w:hAnsi="Arial" w:cs="Arial"/>
          <w:sz w:val="24"/>
          <w:szCs w:val="24"/>
        </w:rPr>
        <w:t>operacionalizadas</w:t>
      </w:r>
      <w:proofErr w:type="spellEnd"/>
      <w:r w:rsidRPr="00103816">
        <w:rPr>
          <w:rFonts w:ascii="Arial" w:eastAsia="Calibri" w:hAnsi="Arial" w:cs="Arial"/>
          <w:sz w:val="24"/>
          <w:szCs w:val="24"/>
        </w:rPr>
        <w:t xml:space="preserve"> en esta investigación. </w:t>
      </w:r>
    </w:p>
    <w:p w:rsidR="00504760" w:rsidRDefault="00504760" w:rsidP="005B6AE2">
      <w:pPr>
        <w:spacing w:line="240" w:lineRule="auto"/>
        <w:jc w:val="both"/>
        <w:rPr>
          <w:rFonts w:ascii="Arial" w:eastAsia="Calibri" w:hAnsi="Arial" w:cs="Arial"/>
          <w:sz w:val="24"/>
          <w:szCs w:val="24"/>
        </w:rPr>
      </w:pPr>
      <w:r w:rsidRPr="005918E5">
        <w:rPr>
          <w:rFonts w:ascii="Arial" w:eastAsia="Calibri" w:hAnsi="Arial" w:cs="Arial"/>
          <w:sz w:val="24"/>
          <w:szCs w:val="24"/>
        </w:rPr>
        <w:t xml:space="preserve">La autora considera </w:t>
      </w:r>
      <w:r>
        <w:rPr>
          <w:rFonts w:ascii="Arial" w:eastAsia="Calibri" w:hAnsi="Arial" w:cs="Arial"/>
          <w:sz w:val="24"/>
          <w:szCs w:val="24"/>
        </w:rPr>
        <w:t xml:space="preserve">válido señalar que se deben intensificar </w:t>
      </w:r>
      <w:r w:rsidRPr="005918E5">
        <w:rPr>
          <w:rFonts w:ascii="Arial" w:eastAsia="Calibri" w:hAnsi="Arial" w:cs="Arial"/>
          <w:sz w:val="24"/>
          <w:szCs w:val="24"/>
        </w:rPr>
        <w:t xml:space="preserve">las labores preventivas del grupo básico de trabajo (GBT) en el municipio dirigidas a conocer y controlar las alteraciones bucales en las mujeres menopáusicas y si inevitablemente aparecen es un deber del equipo de salud de estomatología brindar atención a estas pacientes, realizar un </w:t>
      </w:r>
      <w:r>
        <w:rPr>
          <w:rFonts w:ascii="Arial" w:eastAsia="Calibri" w:hAnsi="Arial" w:cs="Arial"/>
          <w:sz w:val="24"/>
          <w:szCs w:val="24"/>
        </w:rPr>
        <w:t xml:space="preserve">examen del complejo bucal para </w:t>
      </w:r>
      <w:r w:rsidRPr="005918E5">
        <w:rPr>
          <w:rFonts w:ascii="Arial" w:eastAsia="Calibri" w:hAnsi="Arial" w:cs="Arial"/>
          <w:sz w:val="24"/>
          <w:szCs w:val="24"/>
        </w:rPr>
        <w:t>identificar, prevenir y contro</w:t>
      </w:r>
      <w:r>
        <w:rPr>
          <w:rFonts w:ascii="Arial" w:eastAsia="Calibri" w:hAnsi="Arial" w:cs="Arial"/>
          <w:sz w:val="24"/>
          <w:szCs w:val="24"/>
        </w:rPr>
        <w:t>lar sus manifestaciones orales.</w:t>
      </w:r>
    </w:p>
    <w:p w:rsidR="00504760" w:rsidRDefault="00504760" w:rsidP="005B6AE2">
      <w:pPr>
        <w:autoSpaceDE w:val="0"/>
        <w:autoSpaceDN w:val="0"/>
        <w:adjustRightInd w:val="0"/>
        <w:spacing w:after="0" w:line="240" w:lineRule="auto"/>
        <w:jc w:val="both"/>
        <w:rPr>
          <w:rFonts w:ascii="Arial" w:hAnsi="Arial" w:cs="Arial"/>
          <w:sz w:val="24"/>
          <w:szCs w:val="24"/>
        </w:rPr>
      </w:pPr>
      <w:r w:rsidRPr="000F4CBD">
        <w:rPr>
          <w:rFonts w:ascii="Arial" w:hAnsi="Arial" w:cs="Arial"/>
          <w:sz w:val="24"/>
          <w:szCs w:val="24"/>
        </w:rPr>
        <w:t>En la investigación se observó que el ardor bucal en múltiples áreas o generalizado resultó el más representativo seguido de la lengua, lo cual difiere de otros estudios</w:t>
      </w:r>
      <w:r w:rsidR="006369FA">
        <w:rPr>
          <w:rFonts w:ascii="Arial" w:hAnsi="Arial" w:cs="Arial"/>
          <w:sz w:val="24"/>
          <w:szCs w:val="24"/>
          <w:vertAlign w:val="superscript"/>
        </w:rPr>
        <w:t>10,11</w:t>
      </w:r>
      <w:r w:rsidRPr="000F4CBD">
        <w:rPr>
          <w:rFonts w:ascii="Arial" w:hAnsi="Arial" w:cs="Arial"/>
          <w:sz w:val="24"/>
          <w:szCs w:val="24"/>
        </w:rPr>
        <w:t xml:space="preserve">donde se plantearon que el ardor puede presentarse en muchos sitios </w:t>
      </w:r>
      <w:r>
        <w:rPr>
          <w:rFonts w:ascii="Arial" w:hAnsi="Arial" w:cs="Arial"/>
          <w:sz w:val="24"/>
          <w:szCs w:val="24"/>
        </w:rPr>
        <w:t>dentro de la cavidad bucal, resultando</w:t>
      </w:r>
      <w:r w:rsidRPr="000F4CBD">
        <w:rPr>
          <w:rFonts w:ascii="Arial" w:hAnsi="Arial" w:cs="Arial"/>
          <w:sz w:val="24"/>
          <w:szCs w:val="24"/>
        </w:rPr>
        <w:t xml:space="preserve"> la lengua</w:t>
      </w:r>
      <w:r>
        <w:rPr>
          <w:rFonts w:ascii="Arial" w:hAnsi="Arial" w:cs="Arial"/>
          <w:sz w:val="24"/>
          <w:szCs w:val="24"/>
        </w:rPr>
        <w:t xml:space="preserve"> la más afectada</w:t>
      </w:r>
      <w:r w:rsidRPr="000F4CBD">
        <w:rPr>
          <w:rFonts w:ascii="Arial" w:hAnsi="Arial" w:cs="Arial"/>
          <w:sz w:val="24"/>
          <w:szCs w:val="24"/>
        </w:rPr>
        <w:t>, principalmente la punta y los dos tercios anteriores, con variaciones de 50% a 78%.</w:t>
      </w:r>
    </w:p>
    <w:p w:rsidR="00504760" w:rsidRDefault="00504760" w:rsidP="005B6AE2">
      <w:pPr>
        <w:spacing w:line="240" w:lineRule="auto"/>
        <w:jc w:val="both"/>
        <w:rPr>
          <w:rFonts w:ascii="Arial" w:hAnsi="Arial" w:cs="Arial"/>
          <w:sz w:val="24"/>
          <w:szCs w:val="24"/>
        </w:rPr>
      </w:pPr>
      <w:r w:rsidRPr="000F4CBD">
        <w:rPr>
          <w:rFonts w:ascii="Arial" w:hAnsi="Arial" w:cs="Arial"/>
          <w:sz w:val="24"/>
          <w:szCs w:val="24"/>
        </w:rPr>
        <w:t>Esto coincide con la opinión de la autora que considera el síndrome de ardor bucal frecuente en las pacientes postmenopáusicas, el cual se caracteriza por un ardor intenso y una sensación espontánea de quemazón que afecta alguna de las estructuras especificadas en la tabla. Además de ardor bucal, las mujeres refieren dificultad para tragar y dolor facial o dental.</w:t>
      </w:r>
      <w:r w:rsidRPr="00D25173">
        <w:rPr>
          <w:rFonts w:ascii="Arial" w:hAnsi="Arial" w:cs="Arial"/>
          <w:sz w:val="24"/>
          <w:szCs w:val="24"/>
        </w:rPr>
        <w:t>La localización del ardor bucal en múltiples áreas pudiera asociarse a la etiología, que se encuentra relacionada con el déficit hormonal y no por otras causas como las avitaminosis, las anem</w:t>
      </w:r>
      <w:r>
        <w:rPr>
          <w:rFonts w:ascii="Arial" w:hAnsi="Arial" w:cs="Arial"/>
          <w:sz w:val="24"/>
          <w:szCs w:val="24"/>
        </w:rPr>
        <w:t xml:space="preserve">ias, estomatitis </w:t>
      </w:r>
      <w:proofErr w:type="spellStart"/>
      <w:r>
        <w:rPr>
          <w:rFonts w:ascii="Arial" w:hAnsi="Arial" w:cs="Arial"/>
          <w:sz w:val="24"/>
          <w:szCs w:val="24"/>
        </w:rPr>
        <w:t>venenato</w:t>
      </w:r>
      <w:r w:rsidRPr="00D25173">
        <w:rPr>
          <w:rFonts w:ascii="Arial" w:hAnsi="Arial" w:cs="Arial"/>
          <w:sz w:val="24"/>
          <w:szCs w:val="24"/>
        </w:rPr>
        <w:t>s</w:t>
      </w:r>
      <w:proofErr w:type="spellEnd"/>
      <w:r w:rsidRPr="00D25173">
        <w:rPr>
          <w:rFonts w:ascii="Arial" w:hAnsi="Arial" w:cs="Arial"/>
          <w:sz w:val="24"/>
          <w:szCs w:val="24"/>
        </w:rPr>
        <w:t>, etc, que afectan áreas localizadas, fundamentalmente la lengua y los labios.</w:t>
      </w:r>
    </w:p>
    <w:p w:rsidR="00504760" w:rsidRPr="008F38AD" w:rsidRDefault="00504760" w:rsidP="005B6AE2">
      <w:pPr>
        <w:spacing w:line="240" w:lineRule="auto"/>
        <w:jc w:val="both"/>
        <w:rPr>
          <w:rFonts w:ascii="Arial" w:hAnsi="Arial" w:cs="Arial"/>
          <w:sz w:val="24"/>
          <w:szCs w:val="24"/>
        </w:rPr>
      </w:pPr>
      <w:r w:rsidRPr="007448E5">
        <w:rPr>
          <w:rFonts w:ascii="Arial" w:hAnsi="Arial" w:cs="Arial"/>
          <w:sz w:val="24"/>
          <w:szCs w:val="24"/>
        </w:rPr>
        <w:t>Algunos autores</w:t>
      </w:r>
      <w:r w:rsidR="006369FA">
        <w:rPr>
          <w:rFonts w:ascii="Arial" w:hAnsi="Arial" w:cs="Arial"/>
          <w:sz w:val="24"/>
          <w:szCs w:val="24"/>
          <w:vertAlign w:val="superscript"/>
        </w:rPr>
        <w:t>12-14</w:t>
      </w:r>
      <w:r>
        <w:rPr>
          <w:rFonts w:ascii="Arial" w:hAnsi="Arial" w:cs="Arial"/>
          <w:sz w:val="24"/>
          <w:szCs w:val="24"/>
        </w:rPr>
        <w:t xml:space="preserve">plantean que la reducción en la densidad ósea después de la menopausia puede resultar de la combinación de la supresión del efecto de los osteoclastos por los estrógenos y del aumento de la inhibición del cortisol sobre los osteoblastos secundaria a la disminución de progesterona en circulación.  </w:t>
      </w:r>
    </w:p>
    <w:p w:rsidR="00504760" w:rsidRPr="00872A2F" w:rsidRDefault="00504760" w:rsidP="005B6AE2">
      <w:pPr>
        <w:autoSpaceDE w:val="0"/>
        <w:autoSpaceDN w:val="0"/>
        <w:adjustRightInd w:val="0"/>
        <w:spacing w:line="240" w:lineRule="auto"/>
        <w:jc w:val="both"/>
        <w:rPr>
          <w:rFonts w:ascii="Arial" w:hAnsi="Arial" w:cs="Arial"/>
          <w:sz w:val="24"/>
          <w:szCs w:val="24"/>
        </w:rPr>
      </w:pPr>
      <w:r w:rsidRPr="007448E5">
        <w:rPr>
          <w:rFonts w:ascii="Arial" w:hAnsi="Arial" w:cs="Arial"/>
          <w:sz w:val="24"/>
          <w:szCs w:val="24"/>
        </w:rPr>
        <w:t>Varios autores refieren en sus estudios</w:t>
      </w:r>
      <w:r w:rsidR="006369FA">
        <w:rPr>
          <w:rFonts w:ascii="Arial" w:hAnsi="Arial" w:cs="Arial"/>
          <w:sz w:val="24"/>
          <w:szCs w:val="24"/>
          <w:vertAlign w:val="superscript"/>
        </w:rPr>
        <w:t>14,15</w:t>
      </w:r>
      <w:r w:rsidRPr="00872A2F">
        <w:rPr>
          <w:rFonts w:ascii="Arial" w:hAnsi="Arial" w:cs="Arial"/>
          <w:sz w:val="24"/>
          <w:szCs w:val="24"/>
        </w:rPr>
        <w:t xml:space="preserve">que la deficiencia de estrógenos durante la menopausia afecta a la remodelación ósea en áreas con procesos inflamatorios, como la observada en la enfermedad periodontal, donde las mujeres con deficiencias de estos presentaron una pérdida de la densidad ósea principalmente en la región de los molares, resaltando también que </w:t>
      </w:r>
      <w:r>
        <w:rPr>
          <w:rFonts w:ascii="Arial" w:hAnsi="Arial" w:cs="Arial"/>
          <w:sz w:val="24"/>
          <w:szCs w:val="24"/>
        </w:rPr>
        <w:t xml:space="preserve">la </w:t>
      </w:r>
      <w:r w:rsidRPr="00872A2F">
        <w:rPr>
          <w:rFonts w:ascii="Arial" w:hAnsi="Arial" w:cs="Arial"/>
          <w:sz w:val="24"/>
          <w:szCs w:val="24"/>
        </w:rPr>
        <w:t xml:space="preserve">disminución de estrógenos puede estar asociada con una mayor pérdida dental. </w:t>
      </w:r>
    </w:p>
    <w:p w:rsidR="00504760" w:rsidRDefault="00504760" w:rsidP="005B6AE2">
      <w:pPr>
        <w:autoSpaceDE w:val="0"/>
        <w:autoSpaceDN w:val="0"/>
        <w:adjustRightInd w:val="0"/>
        <w:spacing w:line="240" w:lineRule="auto"/>
        <w:jc w:val="both"/>
        <w:rPr>
          <w:rFonts w:ascii="Arial" w:hAnsi="Arial" w:cs="Arial"/>
          <w:sz w:val="24"/>
          <w:szCs w:val="24"/>
        </w:rPr>
      </w:pPr>
      <w:r w:rsidRPr="00872A2F">
        <w:rPr>
          <w:rFonts w:ascii="Arial" w:hAnsi="Arial" w:cs="Arial"/>
          <w:sz w:val="24"/>
          <w:szCs w:val="24"/>
        </w:rPr>
        <w:t>La autora considera que los estrógenos pueden promover la retención de los dientes mediante el fortalecimiento de la inserción periodontal alrededor de los dientes, pero no por el aumento d</w:t>
      </w:r>
      <w:r>
        <w:rPr>
          <w:rFonts w:ascii="Arial" w:hAnsi="Arial" w:cs="Arial"/>
          <w:sz w:val="24"/>
          <w:szCs w:val="24"/>
        </w:rPr>
        <w:t>e la altura o la densidad ósea.</w:t>
      </w:r>
    </w:p>
    <w:p w:rsidR="00504760" w:rsidRDefault="00504760" w:rsidP="005B6AE2">
      <w:pPr>
        <w:spacing w:line="240" w:lineRule="auto"/>
        <w:jc w:val="both"/>
        <w:rPr>
          <w:rFonts w:ascii="Arial" w:hAnsi="Arial" w:cs="Arial"/>
          <w:sz w:val="24"/>
          <w:szCs w:val="24"/>
        </w:rPr>
      </w:pPr>
      <w:r>
        <w:rPr>
          <w:rFonts w:ascii="Arial" w:hAnsi="Arial" w:cs="Arial"/>
          <w:sz w:val="24"/>
          <w:szCs w:val="24"/>
        </w:rPr>
        <w:t xml:space="preserve">Es válido señalar que aunque no se refleja en forma tabular, a través de la planilla de recolección de datos se pudo constatar que, </w:t>
      </w:r>
      <w:r w:rsidRPr="00263DDE">
        <w:rPr>
          <w:rFonts w:ascii="Arial" w:hAnsi="Arial" w:cs="Arial"/>
          <w:sz w:val="24"/>
          <w:szCs w:val="24"/>
        </w:rPr>
        <w:t xml:space="preserve">la </w:t>
      </w:r>
      <w:r>
        <w:rPr>
          <w:rFonts w:ascii="Arial" w:hAnsi="Arial" w:cs="Arial"/>
          <w:sz w:val="24"/>
          <w:szCs w:val="24"/>
        </w:rPr>
        <w:t>Diabetes M</w:t>
      </w:r>
      <w:r w:rsidRPr="00263DDE">
        <w:rPr>
          <w:rFonts w:ascii="Arial" w:hAnsi="Arial" w:cs="Arial"/>
          <w:sz w:val="24"/>
          <w:szCs w:val="24"/>
        </w:rPr>
        <w:t>ellitus</w:t>
      </w:r>
      <w:r>
        <w:rPr>
          <w:rFonts w:ascii="Arial" w:hAnsi="Arial" w:cs="Arial"/>
          <w:sz w:val="24"/>
          <w:szCs w:val="24"/>
        </w:rPr>
        <w:t xml:space="preserve"> y la </w:t>
      </w:r>
      <w:r w:rsidRPr="00263DDE">
        <w:rPr>
          <w:rFonts w:ascii="Arial" w:hAnsi="Arial" w:cs="Arial"/>
          <w:sz w:val="24"/>
          <w:szCs w:val="24"/>
        </w:rPr>
        <w:t>Hipertensi</w:t>
      </w:r>
      <w:r>
        <w:rPr>
          <w:rFonts w:ascii="Arial" w:hAnsi="Arial" w:cs="Arial"/>
          <w:sz w:val="24"/>
          <w:szCs w:val="24"/>
        </w:rPr>
        <w:t>ón A</w:t>
      </w:r>
      <w:r w:rsidRPr="00263DDE">
        <w:rPr>
          <w:rFonts w:ascii="Arial" w:hAnsi="Arial" w:cs="Arial"/>
          <w:sz w:val="24"/>
          <w:szCs w:val="24"/>
        </w:rPr>
        <w:t>rterial</w:t>
      </w:r>
      <w:r>
        <w:rPr>
          <w:rFonts w:ascii="Arial" w:hAnsi="Arial" w:cs="Arial"/>
          <w:sz w:val="24"/>
          <w:szCs w:val="24"/>
        </w:rPr>
        <w:t xml:space="preserve"> fueron las enfermedades sistémicas </w:t>
      </w:r>
      <w:r w:rsidRPr="00263DDE">
        <w:rPr>
          <w:rFonts w:ascii="Arial" w:hAnsi="Arial" w:cs="Arial"/>
          <w:sz w:val="24"/>
          <w:szCs w:val="24"/>
        </w:rPr>
        <w:t xml:space="preserve">más frecuentes representadas </w:t>
      </w:r>
      <w:r>
        <w:rPr>
          <w:rFonts w:ascii="Arial" w:hAnsi="Arial" w:cs="Arial"/>
          <w:sz w:val="24"/>
          <w:szCs w:val="24"/>
        </w:rPr>
        <w:t xml:space="preserve">y el Liquen Plano fue </w:t>
      </w:r>
      <w:r w:rsidRPr="00263DDE">
        <w:rPr>
          <w:rFonts w:ascii="Arial" w:hAnsi="Arial" w:cs="Arial"/>
          <w:sz w:val="24"/>
          <w:szCs w:val="24"/>
        </w:rPr>
        <w:t>el de menores cifras</w:t>
      </w:r>
      <w:r>
        <w:rPr>
          <w:rFonts w:ascii="Arial" w:hAnsi="Arial" w:cs="Arial"/>
          <w:sz w:val="24"/>
          <w:szCs w:val="24"/>
        </w:rPr>
        <w:t>.</w:t>
      </w:r>
    </w:p>
    <w:p w:rsidR="00504760" w:rsidRPr="00411BBF" w:rsidRDefault="00504760" w:rsidP="005B6AE2">
      <w:pPr>
        <w:spacing w:line="240" w:lineRule="auto"/>
        <w:jc w:val="both"/>
      </w:pPr>
      <w:r>
        <w:rPr>
          <w:rFonts w:ascii="Arial" w:hAnsi="Arial" w:cs="Arial"/>
          <w:sz w:val="24"/>
          <w:szCs w:val="24"/>
        </w:rPr>
        <w:t>En el caso de la hipertensión las pacientes refirieron presentar síntomas de esta al haber comenzado la etapa menopáusic</w:t>
      </w:r>
      <w:r w:rsidRPr="00BF0C59">
        <w:rPr>
          <w:rFonts w:ascii="Arial" w:hAnsi="Arial" w:cs="Arial"/>
          <w:sz w:val="24"/>
          <w:szCs w:val="24"/>
        </w:rPr>
        <w:t>a. La autora concuerda con estudios</w:t>
      </w:r>
      <w:r w:rsidR="006369FA">
        <w:rPr>
          <w:rFonts w:ascii="Arial" w:hAnsi="Arial" w:cs="Arial"/>
          <w:sz w:val="24"/>
          <w:szCs w:val="24"/>
          <w:vertAlign w:val="superscript"/>
        </w:rPr>
        <w:t>15-17</w:t>
      </w:r>
      <w:r w:rsidRPr="00BF0C59">
        <w:rPr>
          <w:rFonts w:ascii="Arial" w:hAnsi="Arial" w:cs="Arial"/>
          <w:sz w:val="24"/>
          <w:szCs w:val="24"/>
        </w:rPr>
        <w:t xml:space="preserve"> que plantean que durante esta etapa es frecuente la aparición de crisis hipertensivas que suelen ser moderadas </w:t>
      </w:r>
      <w:r w:rsidRPr="00E90B2A">
        <w:rPr>
          <w:rFonts w:ascii="Arial" w:hAnsi="Arial" w:cs="Arial"/>
          <w:sz w:val="24"/>
          <w:szCs w:val="24"/>
        </w:rPr>
        <w:t>y que se relacionan con el desencadenamientobastante com</w:t>
      </w:r>
      <w:r>
        <w:rPr>
          <w:rFonts w:ascii="Arial" w:hAnsi="Arial" w:cs="Arial"/>
          <w:sz w:val="24"/>
          <w:szCs w:val="24"/>
        </w:rPr>
        <w:t>ún de cefaleas.</w:t>
      </w:r>
      <w:r w:rsidRPr="00E90B2A">
        <w:rPr>
          <w:rFonts w:ascii="Arial" w:hAnsi="Arial" w:cs="Arial"/>
          <w:sz w:val="24"/>
          <w:szCs w:val="24"/>
        </w:rPr>
        <w:t xml:space="preserve"> Por otro lado, se incrementael riesgo de enfermedad cardiovascular despu</w:t>
      </w:r>
      <w:r>
        <w:rPr>
          <w:rFonts w:ascii="Arial" w:hAnsi="Arial" w:cs="Arial"/>
          <w:sz w:val="24"/>
          <w:szCs w:val="24"/>
        </w:rPr>
        <w:t xml:space="preserve">és de la menopausia </w:t>
      </w:r>
      <w:r w:rsidRPr="00E90B2A">
        <w:rPr>
          <w:rFonts w:ascii="Arial" w:hAnsi="Arial" w:cs="Arial"/>
          <w:sz w:val="24"/>
          <w:szCs w:val="24"/>
        </w:rPr>
        <w:t>coincidiendo con el d</w:t>
      </w:r>
      <w:r>
        <w:rPr>
          <w:rFonts w:ascii="Arial" w:hAnsi="Arial" w:cs="Arial"/>
          <w:sz w:val="24"/>
          <w:szCs w:val="24"/>
        </w:rPr>
        <w:t>é</w:t>
      </w:r>
      <w:r w:rsidRPr="00E90B2A">
        <w:rPr>
          <w:rFonts w:ascii="Arial" w:hAnsi="Arial" w:cs="Arial"/>
          <w:sz w:val="24"/>
          <w:szCs w:val="24"/>
        </w:rPr>
        <w:t xml:space="preserve">ficit </w:t>
      </w:r>
      <w:proofErr w:type="spellStart"/>
      <w:r w:rsidRPr="00E90B2A">
        <w:rPr>
          <w:rFonts w:ascii="Arial" w:hAnsi="Arial" w:cs="Arial"/>
          <w:sz w:val="24"/>
          <w:szCs w:val="24"/>
        </w:rPr>
        <w:t>estrog</w:t>
      </w:r>
      <w:r>
        <w:rPr>
          <w:rFonts w:ascii="Arial" w:hAnsi="Arial" w:cs="Arial"/>
          <w:sz w:val="24"/>
          <w:szCs w:val="24"/>
        </w:rPr>
        <w:t>é</w:t>
      </w:r>
      <w:r w:rsidRPr="00E90B2A">
        <w:rPr>
          <w:rFonts w:ascii="Arial" w:hAnsi="Arial" w:cs="Arial"/>
          <w:sz w:val="24"/>
          <w:szCs w:val="24"/>
        </w:rPr>
        <w:t>n</w:t>
      </w:r>
      <w:r>
        <w:rPr>
          <w:rFonts w:ascii="Arial" w:hAnsi="Arial" w:cs="Arial"/>
          <w:sz w:val="24"/>
          <w:szCs w:val="24"/>
        </w:rPr>
        <w:t>ico</w:t>
      </w:r>
      <w:proofErr w:type="spellEnd"/>
      <w:r w:rsidRPr="00E90B2A">
        <w:rPr>
          <w:rFonts w:ascii="Arial" w:hAnsi="Arial" w:cs="Arial"/>
          <w:sz w:val="24"/>
          <w:szCs w:val="24"/>
        </w:rPr>
        <w:t>. Adem</w:t>
      </w:r>
      <w:r>
        <w:rPr>
          <w:rFonts w:ascii="Arial" w:hAnsi="Arial" w:cs="Arial"/>
          <w:sz w:val="24"/>
          <w:szCs w:val="24"/>
        </w:rPr>
        <w:t xml:space="preserve">ás, </w:t>
      </w:r>
      <w:r w:rsidRPr="00E90B2A">
        <w:rPr>
          <w:rFonts w:ascii="Arial" w:hAnsi="Arial" w:cs="Arial"/>
          <w:sz w:val="24"/>
          <w:szCs w:val="24"/>
        </w:rPr>
        <w:t>aparecen otros s</w:t>
      </w:r>
      <w:r>
        <w:rPr>
          <w:rFonts w:ascii="Arial" w:hAnsi="Arial" w:cs="Arial"/>
          <w:sz w:val="24"/>
          <w:szCs w:val="24"/>
        </w:rPr>
        <w:t>í</w:t>
      </w:r>
      <w:r w:rsidRPr="00E90B2A">
        <w:rPr>
          <w:rFonts w:ascii="Arial" w:hAnsi="Arial" w:cs="Arial"/>
          <w:sz w:val="24"/>
          <w:szCs w:val="24"/>
        </w:rPr>
        <w:t xml:space="preserve">ntomas de </w:t>
      </w:r>
      <w:r>
        <w:rPr>
          <w:rFonts w:ascii="Arial" w:hAnsi="Arial" w:cs="Arial"/>
          <w:sz w:val="24"/>
          <w:szCs w:val="24"/>
        </w:rPr>
        <w:t xml:space="preserve">origen cardiovascular, como son </w:t>
      </w:r>
      <w:r w:rsidRPr="00E90B2A">
        <w:rPr>
          <w:rFonts w:ascii="Arial" w:hAnsi="Arial" w:cs="Arial"/>
          <w:sz w:val="24"/>
          <w:szCs w:val="24"/>
        </w:rPr>
        <w:t>las taquicardias y las arritmias</w:t>
      </w:r>
      <w:r>
        <w:rPr>
          <w:rFonts w:ascii="Arial" w:hAnsi="Arial" w:cs="Arial"/>
          <w:sz w:val="24"/>
          <w:szCs w:val="24"/>
        </w:rPr>
        <w:t xml:space="preserve">, que en ocasiones pueden cesar </w:t>
      </w:r>
      <w:r w:rsidRPr="00E90B2A">
        <w:rPr>
          <w:rFonts w:ascii="Arial" w:hAnsi="Arial" w:cs="Arial"/>
          <w:sz w:val="24"/>
          <w:szCs w:val="24"/>
        </w:rPr>
        <w:t>por completo al controlarse el cuadro cl</w:t>
      </w:r>
      <w:r>
        <w:rPr>
          <w:rFonts w:ascii="Arial" w:hAnsi="Arial" w:cs="Arial"/>
          <w:sz w:val="24"/>
          <w:szCs w:val="24"/>
        </w:rPr>
        <w:t>í</w:t>
      </w:r>
      <w:r w:rsidRPr="00E90B2A">
        <w:rPr>
          <w:rFonts w:ascii="Arial" w:hAnsi="Arial" w:cs="Arial"/>
          <w:sz w:val="24"/>
          <w:szCs w:val="24"/>
        </w:rPr>
        <w:t>nico de la menopausia</w:t>
      </w:r>
      <w:r>
        <w:rPr>
          <w:rFonts w:ascii="Arial" w:hAnsi="Arial" w:cs="Arial"/>
          <w:sz w:val="24"/>
          <w:szCs w:val="24"/>
        </w:rPr>
        <w:t>.</w:t>
      </w:r>
    </w:p>
    <w:p w:rsidR="00504760" w:rsidRDefault="00504760" w:rsidP="005B6AE2">
      <w:pPr>
        <w:spacing w:line="240" w:lineRule="auto"/>
        <w:jc w:val="both"/>
        <w:rPr>
          <w:rFonts w:ascii="Arial" w:hAnsi="Arial" w:cs="Arial"/>
          <w:sz w:val="24"/>
          <w:szCs w:val="24"/>
        </w:rPr>
      </w:pPr>
      <w:r>
        <w:rPr>
          <w:rFonts w:ascii="Arial" w:hAnsi="Arial" w:cs="Arial"/>
          <w:sz w:val="24"/>
          <w:szCs w:val="24"/>
        </w:rPr>
        <w:t xml:space="preserve">La cifra de las mujeres que </w:t>
      </w:r>
      <w:r w:rsidRPr="00263DDE">
        <w:rPr>
          <w:rFonts w:ascii="Arial" w:hAnsi="Arial" w:cs="Arial"/>
          <w:sz w:val="24"/>
          <w:szCs w:val="24"/>
        </w:rPr>
        <w:t>no padec</w:t>
      </w:r>
      <w:r>
        <w:rPr>
          <w:rFonts w:ascii="Arial" w:hAnsi="Arial" w:cs="Arial"/>
          <w:sz w:val="24"/>
          <w:szCs w:val="24"/>
        </w:rPr>
        <w:t xml:space="preserve">ían de enfermedades sistémicas y presentaban manifestaciones bucales </w:t>
      </w:r>
      <w:r w:rsidRPr="009A4F0E">
        <w:rPr>
          <w:rFonts w:ascii="Arial" w:hAnsi="Arial" w:cs="Arial"/>
          <w:sz w:val="24"/>
          <w:szCs w:val="24"/>
        </w:rPr>
        <w:t xml:space="preserve">difiere de la investigación efectuada por </w:t>
      </w:r>
      <w:r w:rsidR="006369FA">
        <w:rPr>
          <w:rFonts w:ascii="Arial" w:hAnsi="Arial" w:cs="Arial"/>
          <w:sz w:val="24"/>
          <w:szCs w:val="24"/>
        </w:rPr>
        <w:t>diferentes</w:t>
      </w:r>
      <w:r w:rsidRPr="009A4F0E">
        <w:rPr>
          <w:rFonts w:ascii="Arial" w:hAnsi="Arial" w:cs="Arial"/>
          <w:sz w:val="24"/>
          <w:szCs w:val="24"/>
        </w:rPr>
        <w:t xml:space="preserve"> colaboradores</w:t>
      </w:r>
      <w:r w:rsidR="006369FA">
        <w:rPr>
          <w:rFonts w:ascii="Arial" w:hAnsi="Arial" w:cs="Arial"/>
          <w:sz w:val="24"/>
          <w:szCs w:val="24"/>
          <w:vertAlign w:val="superscript"/>
        </w:rPr>
        <w:t>18</w:t>
      </w:r>
      <w:r w:rsidRPr="009A4F0E">
        <w:rPr>
          <w:rFonts w:ascii="Arial" w:hAnsi="Arial" w:cs="Arial"/>
          <w:sz w:val="24"/>
          <w:szCs w:val="24"/>
        </w:rPr>
        <w:t xml:space="preserve"> quienes reportaron las manifestaciones bucales con por cientos elevados de enfermedades sistémicas con un predominio de la hipertensión con un 22% en mujeres del norte de Brasil y en el ensayo de </w:t>
      </w:r>
      <w:r w:rsidR="006369FA">
        <w:rPr>
          <w:rFonts w:ascii="Arial" w:hAnsi="Arial" w:cs="Arial"/>
          <w:sz w:val="24"/>
          <w:szCs w:val="24"/>
        </w:rPr>
        <w:t>un grupo de autores</w:t>
      </w:r>
      <w:r w:rsidR="006369FA">
        <w:rPr>
          <w:rFonts w:ascii="Arial" w:hAnsi="Arial" w:cs="Arial"/>
          <w:sz w:val="24"/>
          <w:szCs w:val="24"/>
          <w:vertAlign w:val="superscript"/>
        </w:rPr>
        <w:t>19,20</w:t>
      </w:r>
      <w:r w:rsidRPr="009A4F0E">
        <w:rPr>
          <w:rFonts w:ascii="Arial" w:hAnsi="Arial" w:cs="Arial"/>
          <w:sz w:val="24"/>
          <w:szCs w:val="24"/>
        </w:rPr>
        <w:t xml:space="preserve"> en mujeres italianas peri y posmenopáusicas se reporta 46% de </w:t>
      </w:r>
      <w:proofErr w:type="spellStart"/>
      <w:r w:rsidRPr="009A4F0E">
        <w:rPr>
          <w:rFonts w:ascii="Arial" w:hAnsi="Arial" w:cs="Arial"/>
          <w:sz w:val="24"/>
          <w:szCs w:val="24"/>
        </w:rPr>
        <w:t>dislipidemia</w:t>
      </w:r>
      <w:proofErr w:type="spellEnd"/>
      <w:r w:rsidRPr="009A4F0E">
        <w:rPr>
          <w:rFonts w:ascii="Arial" w:hAnsi="Arial" w:cs="Arial"/>
          <w:sz w:val="24"/>
          <w:szCs w:val="24"/>
        </w:rPr>
        <w:t xml:space="preserve"> y 2% de diabetes.</w:t>
      </w:r>
    </w:p>
    <w:p w:rsidR="00504760" w:rsidRDefault="00504760" w:rsidP="005B6AE2">
      <w:pPr>
        <w:spacing w:line="240" w:lineRule="auto"/>
        <w:jc w:val="both"/>
        <w:rPr>
          <w:rFonts w:ascii="Arial" w:hAnsi="Arial" w:cs="Arial"/>
          <w:color w:val="C00000"/>
          <w:sz w:val="24"/>
          <w:szCs w:val="24"/>
        </w:rPr>
      </w:pPr>
      <w:r>
        <w:rPr>
          <w:rFonts w:ascii="Arial" w:hAnsi="Arial" w:cs="Arial"/>
          <w:sz w:val="24"/>
          <w:szCs w:val="24"/>
        </w:rPr>
        <w:t xml:space="preserve"> Las mayores cifras de diabetes </w:t>
      </w:r>
      <w:r w:rsidRPr="00AC5F4B">
        <w:rPr>
          <w:rFonts w:ascii="Arial" w:hAnsi="Arial" w:cs="Arial"/>
          <w:sz w:val="24"/>
          <w:szCs w:val="24"/>
        </w:rPr>
        <w:t>concuerda</w:t>
      </w:r>
      <w:r>
        <w:rPr>
          <w:rFonts w:ascii="Arial" w:hAnsi="Arial" w:cs="Arial"/>
          <w:sz w:val="24"/>
          <w:szCs w:val="24"/>
        </w:rPr>
        <w:t>n</w:t>
      </w:r>
      <w:r w:rsidRPr="00AC5F4B">
        <w:rPr>
          <w:rFonts w:ascii="Arial" w:hAnsi="Arial" w:cs="Arial"/>
          <w:sz w:val="24"/>
          <w:szCs w:val="24"/>
        </w:rPr>
        <w:t xml:space="preserve"> con estudios</w:t>
      </w:r>
      <w:r w:rsidR="006369FA">
        <w:rPr>
          <w:rFonts w:ascii="Arial" w:hAnsi="Arial" w:cs="Arial"/>
          <w:sz w:val="24"/>
          <w:szCs w:val="24"/>
          <w:vertAlign w:val="superscript"/>
        </w:rPr>
        <w:t>1</w:t>
      </w:r>
      <w:r>
        <w:rPr>
          <w:rFonts w:ascii="Arial" w:hAnsi="Arial" w:cs="Arial"/>
          <w:sz w:val="24"/>
          <w:szCs w:val="24"/>
          <w:vertAlign w:val="superscript"/>
        </w:rPr>
        <w:t>5</w:t>
      </w:r>
      <w:r w:rsidRPr="00AC5F4B">
        <w:rPr>
          <w:rFonts w:ascii="Arial" w:hAnsi="Arial" w:cs="Arial"/>
          <w:sz w:val="24"/>
          <w:szCs w:val="24"/>
        </w:rPr>
        <w:t xml:space="preserve"> realizados dond</w:t>
      </w:r>
      <w:r>
        <w:rPr>
          <w:rFonts w:ascii="Arial" w:hAnsi="Arial" w:cs="Arial"/>
          <w:sz w:val="24"/>
          <w:szCs w:val="24"/>
        </w:rPr>
        <w:t>e se plantea que la diabetes que en ocasiones se desencadena</w:t>
      </w:r>
      <w:r w:rsidRPr="00AC5F4B">
        <w:rPr>
          <w:rFonts w:ascii="Arial" w:hAnsi="Arial" w:cs="Arial"/>
          <w:sz w:val="24"/>
          <w:szCs w:val="24"/>
        </w:rPr>
        <w:t xml:space="preserve"> parece ser consecuencia de la menopausia, </w:t>
      </w:r>
      <w:r>
        <w:rPr>
          <w:rFonts w:ascii="Arial" w:hAnsi="Arial" w:cs="Arial"/>
          <w:sz w:val="24"/>
          <w:szCs w:val="24"/>
        </w:rPr>
        <w:t>y que</w:t>
      </w:r>
      <w:r w:rsidRPr="00AC5F4B">
        <w:rPr>
          <w:rFonts w:ascii="Arial" w:hAnsi="Arial" w:cs="Arial"/>
          <w:sz w:val="24"/>
          <w:szCs w:val="24"/>
        </w:rPr>
        <w:t xml:space="preserve"> hay relación directa entre el cese de la menstruación y la aparición de la diabetes</w:t>
      </w:r>
      <w:r>
        <w:rPr>
          <w:rFonts w:ascii="Arial" w:hAnsi="Arial" w:cs="Arial"/>
          <w:color w:val="C00000"/>
          <w:sz w:val="24"/>
          <w:szCs w:val="24"/>
        </w:rPr>
        <w:t>.</w:t>
      </w:r>
    </w:p>
    <w:p w:rsidR="00504760" w:rsidRPr="00411BBF" w:rsidRDefault="00504760" w:rsidP="005B6AE2">
      <w:pPr>
        <w:spacing w:line="240" w:lineRule="auto"/>
        <w:jc w:val="both"/>
        <w:rPr>
          <w:rFonts w:ascii="Arial" w:hAnsi="Arial" w:cs="Arial"/>
          <w:sz w:val="24"/>
          <w:szCs w:val="24"/>
        </w:rPr>
      </w:pPr>
      <w:r w:rsidRPr="00193B76">
        <w:rPr>
          <w:rFonts w:ascii="Arial" w:hAnsi="Arial" w:cs="Arial"/>
          <w:sz w:val="24"/>
          <w:szCs w:val="24"/>
        </w:rPr>
        <w:t>La autora plantea que en la mayoría de las mujeres menopaúsicas existían manifestaciones bucales y no estaban presentes las enfermedades sistémicas, por lo cual se puede inferir que aparecieron posterior a la aparición de la menopausia</w:t>
      </w:r>
    </w:p>
    <w:p w:rsidR="00504760" w:rsidRDefault="00504760" w:rsidP="005B6AE2">
      <w:pPr>
        <w:spacing w:line="240" w:lineRule="auto"/>
        <w:jc w:val="both"/>
        <w:rPr>
          <w:rFonts w:ascii="Arial" w:hAnsi="Arial" w:cs="Arial"/>
          <w:sz w:val="24"/>
          <w:szCs w:val="24"/>
        </w:rPr>
      </w:pPr>
      <w:r w:rsidRPr="00411BBF">
        <w:rPr>
          <w:rFonts w:ascii="Arial" w:hAnsi="Arial" w:cs="Arial"/>
          <w:sz w:val="24"/>
          <w:szCs w:val="24"/>
        </w:rPr>
        <w:t xml:space="preserve">La autora considera que pudiera existir una relación entre las alteraciones psicógenas referidas por las mujeres en edad menopáusica y la aparición de enfermedades o manifestaciones clínicas bucales pues las mismas refirieron durante el interrogatorio </w:t>
      </w:r>
      <w:r>
        <w:rPr>
          <w:rFonts w:ascii="Arial" w:hAnsi="Arial" w:cs="Arial"/>
          <w:sz w:val="24"/>
          <w:szCs w:val="24"/>
        </w:rPr>
        <w:t xml:space="preserve">que después de la menopausia han presentado insomnios y se sienten estresadas y en ocasiones con ansiedad, lo que pudiera explicar el incremento del bruxismo, dolor de la ATM, la presencia de lesiones blanquecinas y eritematosas entre otras manifestaciones clínicas bucales. </w:t>
      </w:r>
    </w:p>
    <w:p w:rsidR="00504760" w:rsidRDefault="00504760" w:rsidP="005B6AE2">
      <w:pPr>
        <w:spacing w:line="240" w:lineRule="auto"/>
        <w:jc w:val="both"/>
        <w:rPr>
          <w:rFonts w:ascii="Arial" w:hAnsi="Arial" w:cs="Arial"/>
          <w:sz w:val="24"/>
          <w:szCs w:val="24"/>
        </w:rPr>
      </w:pPr>
      <w:r>
        <w:rPr>
          <w:rFonts w:ascii="Arial" w:hAnsi="Arial" w:cs="Arial"/>
          <w:sz w:val="24"/>
          <w:szCs w:val="24"/>
        </w:rPr>
        <w:t xml:space="preserve">Se concluye que </w:t>
      </w:r>
      <w:r w:rsidR="00E96417">
        <w:rPr>
          <w:rFonts w:ascii="Arial" w:hAnsi="Arial" w:cs="Arial"/>
          <w:sz w:val="24"/>
          <w:szCs w:val="24"/>
        </w:rPr>
        <w:t xml:space="preserve">de las mujeres examinadas </w:t>
      </w:r>
      <w:r w:rsidRPr="00E96417">
        <w:rPr>
          <w:rFonts w:ascii="Arial" w:hAnsi="Arial" w:cs="Arial"/>
          <w:sz w:val="24"/>
          <w:szCs w:val="24"/>
        </w:rPr>
        <w:t>predominó la menopausia natural según la edad de aparición</w:t>
      </w:r>
      <w:r w:rsidR="00E96417">
        <w:rPr>
          <w:rFonts w:ascii="Arial" w:hAnsi="Arial" w:cs="Arial"/>
          <w:sz w:val="24"/>
          <w:szCs w:val="24"/>
        </w:rPr>
        <w:t>, siendo l</w:t>
      </w:r>
      <w:r w:rsidRPr="00E96417">
        <w:rPr>
          <w:rFonts w:ascii="Arial" w:hAnsi="Arial" w:cs="Arial"/>
          <w:sz w:val="24"/>
          <w:szCs w:val="24"/>
        </w:rPr>
        <w:t xml:space="preserve">a enfermedad periodontal y el ardor bucal </w:t>
      </w:r>
      <w:r w:rsidR="00E96417">
        <w:rPr>
          <w:rFonts w:ascii="Arial" w:hAnsi="Arial" w:cs="Arial"/>
          <w:sz w:val="24"/>
          <w:szCs w:val="24"/>
        </w:rPr>
        <w:t>localizado en múltiples áreas</w:t>
      </w:r>
      <w:r w:rsidRPr="00E96417">
        <w:rPr>
          <w:rFonts w:ascii="Arial" w:hAnsi="Arial" w:cs="Arial"/>
          <w:sz w:val="24"/>
          <w:szCs w:val="24"/>
        </w:rPr>
        <w:t xml:space="preserve"> las enfermedades y/o manifestaciones clín</w:t>
      </w:r>
      <w:r w:rsidR="00E96417">
        <w:rPr>
          <w:rFonts w:ascii="Arial" w:hAnsi="Arial" w:cs="Arial"/>
          <w:sz w:val="24"/>
          <w:szCs w:val="24"/>
        </w:rPr>
        <w:t>icas bucales más frecuentes, así como prevalecieron la D</w:t>
      </w:r>
      <w:r w:rsidRPr="00E37AF4">
        <w:rPr>
          <w:rFonts w:ascii="Arial" w:hAnsi="Arial" w:cs="Arial"/>
          <w:sz w:val="24"/>
          <w:szCs w:val="24"/>
        </w:rPr>
        <w:t>iabetes</w:t>
      </w:r>
      <w:r w:rsidR="00E96417">
        <w:rPr>
          <w:rFonts w:ascii="Arial" w:hAnsi="Arial" w:cs="Arial"/>
          <w:sz w:val="24"/>
          <w:szCs w:val="24"/>
        </w:rPr>
        <w:t xml:space="preserve"> Mellitus y la Hipertensión A</w:t>
      </w:r>
      <w:r w:rsidRPr="00E37AF4">
        <w:rPr>
          <w:rFonts w:ascii="Arial" w:hAnsi="Arial" w:cs="Arial"/>
          <w:sz w:val="24"/>
          <w:szCs w:val="24"/>
        </w:rPr>
        <w:t xml:space="preserve">rterial </w:t>
      </w:r>
      <w:r w:rsidR="00E96417">
        <w:rPr>
          <w:rFonts w:ascii="Arial" w:hAnsi="Arial" w:cs="Arial"/>
          <w:sz w:val="24"/>
          <w:szCs w:val="24"/>
        </w:rPr>
        <w:t xml:space="preserve">como enfermedades sistémicas </w:t>
      </w:r>
      <w:r w:rsidRPr="00E37AF4">
        <w:rPr>
          <w:rFonts w:ascii="Arial" w:hAnsi="Arial" w:cs="Arial"/>
          <w:sz w:val="24"/>
          <w:szCs w:val="24"/>
        </w:rPr>
        <w:t xml:space="preserve">y </w:t>
      </w:r>
      <w:r w:rsidR="00E96417">
        <w:rPr>
          <w:rFonts w:ascii="Arial" w:hAnsi="Arial" w:cs="Arial"/>
          <w:sz w:val="24"/>
          <w:szCs w:val="24"/>
        </w:rPr>
        <w:t xml:space="preserve">el bruxismo como </w:t>
      </w:r>
      <w:r w:rsidRPr="00E37AF4">
        <w:rPr>
          <w:rFonts w:ascii="Arial" w:hAnsi="Arial" w:cs="Arial"/>
          <w:sz w:val="24"/>
          <w:szCs w:val="24"/>
        </w:rPr>
        <w:t>manife</w:t>
      </w:r>
      <w:r w:rsidR="00E96417">
        <w:rPr>
          <w:rFonts w:ascii="Arial" w:hAnsi="Arial" w:cs="Arial"/>
          <w:sz w:val="24"/>
          <w:szCs w:val="24"/>
        </w:rPr>
        <w:t>stación bucal.</w:t>
      </w:r>
    </w:p>
    <w:p w:rsidR="00703A61" w:rsidRPr="008A44A2" w:rsidRDefault="00703A61" w:rsidP="005B6AE2">
      <w:pPr>
        <w:spacing w:line="240" w:lineRule="auto"/>
        <w:jc w:val="both"/>
        <w:rPr>
          <w:rFonts w:ascii="Arial" w:hAnsi="Arial" w:cs="Arial"/>
          <w:b/>
          <w:sz w:val="24"/>
          <w:szCs w:val="24"/>
          <w:lang w:val="en-US"/>
        </w:rPr>
      </w:pPr>
      <w:r w:rsidRPr="008A44A2">
        <w:rPr>
          <w:rFonts w:ascii="Arial" w:hAnsi="Arial" w:cs="Arial"/>
          <w:b/>
          <w:sz w:val="24"/>
          <w:szCs w:val="24"/>
          <w:lang w:val="en-US"/>
        </w:rPr>
        <w:t>REFERENCIAS BIBLIOGRÁFICAS</w:t>
      </w:r>
    </w:p>
    <w:p w:rsidR="003F6A5A" w:rsidRDefault="00777908" w:rsidP="005B6AE2">
      <w:pPr>
        <w:spacing w:after="0" w:line="240" w:lineRule="auto"/>
        <w:jc w:val="both"/>
        <w:rPr>
          <w:rFonts w:ascii="Arial" w:hAnsi="Arial" w:cs="Arial"/>
          <w:sz w:val="24"/>
          <w:szCs w:val="24"/>
          <w:lang w:val="en-US"/>
        </w:rPr>
      </w:pPr>
      <w:r>
        <w:rPr>
          <w:rFonts w:ascii="Arial" w:hAnsi="Arial" w:cs="Arial"/>
          <w:sz w:val="24"/>
          <w:szCs w:val="24"/>
          <w:lang w:val="en-US"/>
        </w:rPr>
        <w:t>1</w:t>
      </w:r>
      <w:r w:rsidR="008A44A2" w:rsidRPr="008A44A2">
        <w:rPr>
          <w:rFonts w:ascii="Arial" w:hAnsi="Arial" w:cs="Arial"/>
          <w:sz w:val="24"/>
          <w:szCs w:val="24"/>
          <w:lang w:val="en-US"/>
        </w:rPr>
        <w:t xml:space="preserve">- </w:t>
      </w:r>
      <w:proofErr w:type="spellStart"/>
      <w:r w:rsidR="008A44A2" w:rsidRPr="008A44A2">
        <w:rPr>
          <w:rFonts w:ascii="Arial" w:hAnsi="Arial" w:cs="Arial"/>
          <w:sz w:val="24"/>
          <w:szCs w:val="24"/>
          <w:lang w:val="en-US"/>
        </w:rPr>
        <w:t>Kuh</w:t>
      </w:r>
      <w:proofErr w:type="spellEnd"/>
      <w:r w:rsidR="008A44A2" w:rsidRPr="008A44A2">
        <w:rPr>
          <w:rFonts w:ascii="Arial" w:hAnsi="Arial" w:cs="Arial"/>
          <w:sz w:val="24"/>
          <w:szCs w:val="24"/>
          <w:lang w:val="en-US"/>
        </w:rPr>
        <w:t xml:space="preserve"> D, Cooper R, Moore A, Richards M, Hardy R. Age at menopause and lifetime cognition. Findings from a British birth cohort study. Neurology. 2018 May 8; 90(19): e1673–e1681. </w:t>
      </w:r>
      <w:proofErr w:type="spellStart"/>
      <w:proofErr w:type="gramStart"/>
      <w:r w:rsidR="008A44A2" w:rsidRPr="008A44A2">
        <w:rPr>
          <w:rFonts w:ascii="Arial" w:hAnsi="Arial" w:cs="Arial"/>
          <w:sz w:val="24"/>
          <w:szCs w:val="24"/>
          <w:lang w:val="en-US"/>
        </w:rPr>
        <w:t>doi</w:t>
      </w:r>
      <w:proofErr w:type="spellEnd"/>
      <w:proofErr w:type="gramEnd"/>
      <w:r w:rsidR="008A44A2" w:rsidRPr="008A44A2">
        <w:rPr>
          <w:rFonts w:ascii="Arial" w:hAnsi="Arial" w:cs="Arial"/>
          <w:sz w:val="24"/>
          <w:szCs w:val="24"/>
          <w:lang w:val="en-US"/>
        </w:rPr>
        <w:t>: 10.1212/WNL.0000000000005486.    </w:t>
      </w:r>
    </w:p>
    <w:p w:rsidR="008A44A2" w:rsidRPr="00BD6FB2" w:rsidRDefault="008A44A2" w:rsidP="005B6AE2">
      <w:pPr>
        <w:spacing w:after="0" w:line="240" w:lineRule="auto"/>
        <w:jc w:val="both"/>
        <w:rPr>
          <w:rFonts w:ascii="Arial" w:eastAsia="Times New Roman" w:hAnsi="Arial" w:cs="Arial"/>
          <w:sz w:val="24"/>
          <w:szCs w:val="24"/>
          <w:lang w:val="en-US"/>
        </w:rPr>
      </w:pPr>
      <w:r w:rsidRPr="00BD6FB2">
        <w:rPr>
          <w:rFonts w:ascii="Arial" w:hAnsi="Arial" w:cs="Arial"/>
          <w:sz w:val="24"/>
          <w:szCs w:val="24"/>
          <w:lang w:val="en-US"/>
        </w:rPr>
        <w:t>     </w:t>
      </w:r>
    </w:p>
    <w:p w:rsidR="008A44A2" w:rsidRDefault="00777908" w:rsidP="005B6AE2">
      <w:pPr>
        <w:spacing w:after="0" w:line="240" w:lineRule="auto"/>
        <w:jc w:val="both"/>
        <w:rPr>
          <w:rFonts w:ascii="Arial" w:eastAsia="Times New Roman" w:hAnsi="Arial" w:cs="Arial"/>
          <w:sz w:val="24"/>
          <w:szCs w:val="24"/>
        </w:rPr>
      </w:pPr>
      <w:r>
        <w:rPr>
          <w:rFonts w:ascii="Arial" w:eastAsia="Times New Roman" w:hAnsi="Arial" w:cs="Arial"/>
          <w:sz w:val="24"/>
          <w:szCs w:val="24"/>
        </w:rPr>
        <w:t>2</w:t>
      </w:r>
      <w:r w:rsidR="008A44A2" w:rsidRPr="008A44A2">
        <w:rPr>
          <w:rFonts w:ascii="Arial" w:eastAsia="Times New Roman" w:hAnsi="Arial" w:cs="Arial"/>
          <w:sz w:val="24"/>
          <w:szCs w:val="24"/>
        </w:rPr>
        <w:t xml:space="preserve">- Hugo Salinas P. Envejecimiento poblacional y unidades de climaterio. </w:t>
      </w:r>
      <w:proofErr w:type="spellStart"/>
      <w:r w:rsidR="008A44A2" w:rsidRPr="008A44A2">
        <w:rPr>
          <w:rFonts w:ascii="Arial" w:eastAsia="Times New Roman" w:hAnsi="Arial" w:cs="Arial"/>
          <w:sz w:val="24"/>
          <w:szCs w:val="24"/>
        </w:rPr>
        <w:t>RevChilObstetGinecol</w:t>
      </w:r>
      <w:proofErr w:type="spellEnd"/>
      <w:r w:rsidR="008A44A2" w:rsidRPr="008A44A2">
        <w:rPr>
          <w:rFonts w:ascii="Arial" w:eastAsia="Times New Roman" w:hAnsi="Arial" w:cs="Arial"/>
          <w:sz w:val="24"/>
          <w:szCs w:val="24"/>
        </w:rPr>
        <w:t>. 2017; 82(3).</w:t>
      </w:r>
    </w:p>
    <w:p w:rsidR="003F6A5A" w:rsidRPr="008A44A2" w:rsidRDefault="003F6A5A" w:rsidP="005B6AE2">
      <w:pPr>
        <w:spacing w:after="0" w:line="240" w:lineRule="auto"/>
        <w:jc w:val="both"/>
        <w:rPr>
          <w:rFonts w:ascii="Arial" w:eastAsia="Times New Roman" w:hAnsi="Arial" w:cs="Arial"/>
          <w:sz w:val="24"/>
          <w:szCs w:val="24"/>
        </w:rPr>
      </w:pPr>
    </w:p>
    <w:p w:rsidR="008A44A2" w:rsidRDefault="00777908" w:rsidP="005B6AE2">
      <w:pPr>
        <w:spacing w:after="0" w:line="240" w:lineRule="auto"/>
        <w:jc w:val="both"/>
        <w:rPr>
          <w:rStyle w:val="Hipervnculo"/>
          <w:rFonts w:ascii="Arial" w:hAnsi="Arial" w:cs="Arial"/>
          <w:sz w:val="24"/>
          <w:szCs w:val="24"/>
        </w:rPr>
      </w:pPr>
      <w:r>
        <w:rPr>
          <w:rFonts w:ascii="Arial" w:hAnsi="Arial" w:cs="Arial"/>
          <w:sz w:val="24"/>
          <w:szCs w:val="24"/>
        </w:rPr>
        <w:t>3</w:t>
      </w:r>
      <w:r w:rsidR="008A44A2" w:rsidRPr="008A44A2">
        <w:rPr>
          <w:rFonts w:ascii="Arial" w:hAnsi="Arial" w:cs="Arial"/>
          <w:sz w:val="24"/>
          <w:szCs w:val="24"/>
        </w:rPr>
        <w:t xml:space="preserve">- Herrera Páez TB, Martínez Chang IM, </w:t>
      </w:r>
      <w:proofErr w:type="spellStart"/>
      <w:r w:rsidR="008A44A2" w:rsidRPr="008A44A2">
        <w:rPr>
          <w:rFonts w:ascii="Arial" w:hAnsi="Arial" w:cs="Arial"/>
          <w:sz w:val="24"/>
          <w:szCs w:val="24"/>
        </w:rPr>
        <w:t>Sarduy</w:t>
      </w:r>
      <w:proofErr w:type="spellEnd"/>
      <w:r w:rsidR="008A44A2" w:rsidRPr="008A44A2">
        <w:rPr>
          <w:rFonts w:ascii="Arial" w:hAnsi="Arial" w:cs="Arial"/>
          <w:sz w:val="24"/>
          <w:szCs w:val="24"/>
        </w:rPr>
        <w:t xml:space="preserve"> Nápoles M, Rodríguez Martínez L, Rodríguez Molina M. Factores socioculturales y laborales asociados a la sintomatología del síndrome climatérico. </w:t>
      </w:r>
      <w:proofErr w:type="spellStart"/>
      <w:r w:rsidR="008A44A2" w:rsidRPr="008A44A2">
        <w:rPr>
          <w:rFonts w:ascii="Arial" w:hAnsi="Arial" w:cs="Arial"/>
          <w:sz w:val="24"/>
          <w:szCs w:val="24"/>
        </w:rPr>
        <w:t>Rev</w:t>
      </w:r>
      <w:proofErr w:type="spellEnd"/>
      <w:r w:rsidR="008A44A2" w:rsidRPr="008A44A2">
        <w:rPr>
          <w:rFonts w:ascii="Arial" w:hAnsi="Arial" w:cs="Arial"/>
          <w:sz w:val="24"/>
          <w:szCs w:val="24"/>
        </w:rPr>
        <w:t xml:space="preserve"> Cubana </w:t>
      </w:r>
      <w:proofErr w:type="spellStart"/>
      <w:r w:rsidR="008A44A2" w:rsidRPr="008A44A2">
        <w:rPr>
          <w:rFonts w:ascii="Arial" w:hAnsi="Arial" w:cs="Arial"/>
          <w:sz w:val="24"/>
          <w:szCs w:val="24"/>
        </w:rPr>
        <w:t>ObstetrGinecol</w:t>
      </w:r>
      <w:proofErr w:type="spellEnd"/>
      <w:r w:rsidR="008A44A2" w:rsidRPr="008A44A2">
        <w:rPr>
          <w:rFonts w:ascii="Arial" w:hAnsi="Arial" w:cs="Arial"/>
          <w:sz w:val="24"/>
          <w:szCs w:val="24"/>
        </w:rPr>
        <w:t xml:space="preserve"> (Ginecología y Salud Reproductiva) [internet]. 2017 [citado 5 mar. 2019]; 43(2)</w:t>
      </w:r>
      <w:proofErr w:type="gramStart"/>
      <w:r w:rsidR="008A44A2" w:rsidRPr="008A44A2">
        <w:rPr>
          <w:rFonts w:ascii="Arial" w:hAnsi="Arial" w:cs="Arial"/>
          <w:sz w:val="24"/>
          <w:szCs w:val="24"/>
        </w:rPr>
        <w:t>:[</w:t>
      </w:r>
      <w:proofErr w:type="gramEnd"/>
      <w:r w:rsidR="008A44A2" w:rsidRPr="008A44A2">
        <w:rPr>
          <w:rFonts w:ascii="Arial" w:hAnsi="Arial" w:cs="Arial"/>
          <w:sz w:val="24"/>
          <w:szCs w:val="24"/>
        </w:rPr>
        <w:t xml:space="preserve">aprox. 7 p.]. Disponible en: </w:t>
      </w:r>
      <w:hyperlink r:id="rId7" w:history="1">
        <w:r w:rsidR="008A44A2" w:rsidRPr="008A44A2">
          <w:rPr>
            <w:rStyle w:val="Hipervnculo"/>
            <w:rFonts w:ascii="Arial" w:hAnsi="Arial" w:cs="Arial"/>
            <w:sz w:val="24"/>
            <w:szCs w:val="24"/>
          </w:rPr>
          <w:t xml:space="preserve">http://www.revginecobstetricia.sld.cu/index.php/gin/ </w:t>
        </w:r>
        <w:proofErr w:type="spellStart"/>
        <w:r w:rsidR="008A44A2" w:rsidRPr="008A44A2">
          <w:rPr>
            <w:rStyle w:val="Hipervnculo"/>
            <w:rFonts w:ascii="Arial" w:hAnsi="Arial" w:cs="Arial"/>
            <w:sz w:val="24"/>
            <w:szCs w:val="24"/>
          </w:rPr>
          <w:t>article</w:t>
        </w:r>
        <w:proofErr w:type="spellEnd"/>
        <w:r w:rsidR="008A44A2" w:rsidRPr="008A44A2">
          <w:rPr>
            <w:rStyle w:val="Hipervnculo"/>
            <w:rFonts w:ascii="Arial" w:hAnsi="Arial" w:cs="Arial"/>
            <w:sz w:val="24"/>
            <w:szCs w:val="24"/>
          </w:rPr>
          <w:t>/</w:t>
        </w:r>
        <w:proofErr w:type="spellStart"/>
        <w:r w:rsidR="008A44A2" w:rsidRPr="008A44A2">
          <w:rPr>
            <w:rStyle w:val="Hipervnculo"/>
            <w:rFonts w:ascii="Arial" w:hAnsi="Arial" w:cs="Arial"/>
            <w:sz w:val="24"/>
            <w:szCs w:val="24"/>
          </w:rPr>
          <w:t>view</w:t>
        </w:r>
        <w:proofErr w:type="spellEnd"/>
        <w:r w:rsidR="008A44A2" w:rsidRPr="008A44A2">
          <w:rPr>
            <w:rStyle w:val="Hipervnculo"/>
            <w:rFonts w:ascii="Arial" w:hAnsi="Arial" w:cs="Arial"/>
            <w:sz w:val="24"/>
            <w:szCs w:val="24"/>
          </w:rPr>
          <w:t xml:space="preserve"> /202/146</w:t>
        </w:r>
      </w:hyperlink>
    </w:p>
    <w:p w:rsidR="003F6A5A" w:rsidRPr="008A44A2" w:rsidRDefault="003F6A5A" w:rsidP="005B6AE2">
      <w:pPr>
        <w:spacing w:after="0" w:line="240" w:lineRule="auto"/>
        <w:jc w:val="both"/>
        <w:rPr>
          <w:rFonts w:ascii="Arial" w:hAnsi="Arial" w:cs="Arial"/>
          <w:sz w:val="24"/>
          <w:szCs w:val="24"/>
        </w:rPr>
      </w:pPr>
    </w:p>
    <w:p w:rsidR="008A44A2" w:rsidRDefault="00777908" w:rsidP="005B6AE2">
      <w:pPr>
        <w:spacing w:after="0" w:line="240" w:lineRule="auto"/>
        <w:jc w:val="both"/>
        <w:rPr>
          <w:rFonts w:ascii="Arial" w:hAnsi="Arial" w:cs="Arial"/>
          <w:color w:val="0070C0"/>
          <w:sz w:val="24"/>
          <w:szCs w:val="24"/>
        </w:rPr>
      </w:pPr>
      <w:r>
        <w:rPr>
          <w:rFonts w:ascii="Arial" w:hAnsi="Arial" w:cs="Arial"/>
          <w:sz w:val="24"/>
          <w:szCs w:val="24"/>
        </w:rPr>
        <w:t>4</w:t>
      </w:r>
      <w:r w:rsidR="008A44A2" w:rsidRPr="008A44A2">
        <w:rPr>
          <w:rFonts w:ascii="Arial" w:hAnsi="Arial" w:cs="Arial"/>
          <w:sz w:val="24"/>
          <w:szCs w:val="24"/>
        </w:rPr>
        <w:t xml:space="preserve">- Sanz Martínez S, Montoya Gea F, Rivas AJ, </w:t>
      </w:r>
      <w:proofErr w:type="spellStart"/>
      <w:r w:rsidR="008A44A2" w:rsidRPr="008A44A2">
        <w:rPr>
          <w:rFonts w:ascii="Arial" w:hAnsi="Arial" w:cs="Arial"/>
          <w:sz w:val="24"/>
          <w:szCs w:val="24"/>
        </w:rPr>
        <w:t>Berenguel</w:t>
      </w:r>
      <w:proofErr w:type="spellEnd"/>
      <w:r w:rsidR="008A44A2" w:rsidRPr="008A44A2">
        <w:rPr>
          <w:rFonts w:ascii="Arial" w:hAnsi="Arial" w:cs="Arial"/>
          <w:sz w:val="24"/>
          <w:szCs w:val="24"/>
        </w:rPr>
        <w:t xml:space="preserve"> Antequera E, Navarro Hernández P. Prevención de la menopausia en la mujer. En: Molero MM, Pérez Fuentes MC, </w:t>
      </w:r>
      <w:proofErr w:type="spellStart"/>
      <w:r w:rsidR="008A44A2" w:rsidRPr="008A44A2">
        <w:rPr>
          <w:rFonts w:ascii="Arial" w:hAnsi="Arial" w:cs="Arial"/>
          <w:sz w:val="24"/>
          <w:szCs w:val="24"/>
        </w:rPr>
        <w:t>Gázquez</w:t>
      </w:r>
      <w:proofErr w:type="spellEnd"/>
      <w:r w:rsidR="008A44A2" w:rsidRPr="008A44A2">
        <w:rPr>
          <w:rFonts w:ascii="Arial" w:hAnsi="Arial" w:cs="Arial"/>
          <w:sz w:val="24"/>
          <w:szCs w:val="24"/>
        </w:rPr>
        <w:t xml:space="preserve"> JJ, Barragán AB, Martos Á, Simón MM. Salud y cuidados durante el desarrollo. Vol. I [internet]. El Salvador: ASUNIVEP; 2017 [citado 5 mar. 2019]. Disponible en: </w:t>
      </w:r>
      <w:hyperlink r:id="rId8" w:history="1">
        <w:r w:rsidR="008A44A2" w:rsidRPr="008A44A2">
          <w:rPr>
            <w:rStyle w:val="Hipervnculo"/>
            <w:rFonts w:ascii="Arial" w:hAnsi="Arial" w:cs="Arial"/>
            <w:color w:val="0070C0"/>
            <w:sz w:val="24"/>
            <w:szCs w:val="24"/>
          </w:rPr>
          <w:t>https://www.formacionasunivep.com/</w:t>
        </w:r>
      </w:hyperlink>
      <w:r w:rsidR="008A44A2" w:rsidRPr="008A44A2">
        <w:rPr>
          <w:rFonts w:ascii="Arial" w:hAnsi="Arial" w:cs="Arial"/>
          <w:color w:val="0070C0"/>
          <w:sz w:val="24"/>
          <w:szCs w:val="24"/>
          <w:u w:val="single"/>
        </w:rPr>
        <w:t>Vciise/files/libros/ LIBRO_5.pdf</w:t>
      </w:r>
    </w:p>
    <w:p w:rsidR="003F6A5A" w:rsidRPr="008A44A2" w:rsidRDefault="003F6A5A" w:rsidP="005B6AE2">
      <w:pPr>
        <w:spacing w:after="0" w:line="240" w:lineRule="auto"/>
        <w:jc w:val="both"/>
        <w:rPr>
          <w:rFonts w:ascii="Arial" w:hAnsi="Arial" w:cs="Arial"/>
          <w:sz w:val="24"/>
          <w:szCs w:val="24"/>
        </w:rPr>
      </w:pPr>
    </w:p>
    <w:p w:rsidR="008A44A2" w:rsidRDefault="00777908" w:rsidP="005B6A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5</w:t>
      </w:r>
      <w:r w:rsidR="008A44A2" w:rsidRPr="008A44A2">
        <w:rPr>
          <w:rFonts w:ascii="Arial" w:eastAsia="Times New Roman" w:hAnsi="Arial" w:cs="Arial"/>
          <w:sz w:val="24"/>
          <w:szCs w:val="24"/>
        </w:rPr>
        <w:t xml:space="preserve">- </w:t>
      </w:r>
      <w:proofErr w:type="spellStart"/>
      <w:r w:rsidR="008A44A2" w:rsidRPr="008A44A2">
        <w:rPr>
          <w:rFonts w:ascii="Arial" w:eastAsia="Times New Roman" w:hAnsi="Arial" w:cs="Arial"/>
          <w:sz w:val="24"/>
          <w:szCs w:val="24"/>
        </w:rPr>
        <w:t>TuriñoSarduy</w:t>
      </w:r>
      <w:proofErr w:type="spellEnd"/>
      <w:r w:rsidR="008A44A2" w:rsidRPr="008A44A2">
        <w:rPr>
          <w:rFonts w:ascii="Arial" w:eastAsia="Times New Roman" w:hAnsi="Arial" w:cs="Arial"/>
          <w:sz w:val="24"/>
          <w:szCs w:val="24"/>
        </w:rPr>
        <w:t xml:space="preserve"> María </w:t>
      </w:r>
      <w:proofErr w:type="spellStart"/>
      <w:r w:rsidR="008A44A2" w:rsidRPr="008A44A2">
        <w:rPr>
          <w:rFonts w:ascii="Arial" w:eastAsia="Times New Roman" w:hAnsi="Arial" w:cs="Arial"/>
          <w:sz w:val="24"/>
          <w:szCs w:val="24"/>
        </w:rPr>
        <w:t>Ismary</w:t>
      </w:r>
      <w:proofErr w:type="spellEnd"/>
      <w:r w:rsidR="008A44A2" w:rsidRPr="008A44A2">
        <w:rPr>
          <w:rFonts w:ascii="Arial" w:eastAsia="Times New Roman" w:hAnsi="Arial" w:cs="Arial"/>
          <w:sz w:val="24"/>
          <w:szCs w:val="24"/>
        </w:rPr>
        <w:t xml:space="preserve">, </w:t>
      </w:r>
      <w:proofErr w:type="spellStart"/>
      <w:r w:rsidR="008A44A2" w:rsidRPr="008A44A2">
        <w:rPr>
          <w:rFonts w:ascii="Arial" w:eastAsia="Times New Roman" w:hAnsi="Arial" w:cs="Arial"/>
          <w:sz w:val="24"/>
          <w:szCs w:val="24"/>
        </w:rPr>
        <w:t>Colomé</w:t>
      </w:r>
      <w:proofErr w:type="spellEnd"/>
      <w:r w:rsidR="008A44A2" w:rsidRPr="008A44A2">
        <w:rPr>
          <w:rFonts w:ascii="Arial" w:eastAsia="Times New Roman" w:hAnsi="Arial" w:cs="Arial"/>
          <w:sz w:val="24"/>
          <w:szCs w:val="24"/>
        </w:rPr>
        <w:t xml:space="preserve"> González Tania, Fuentes </w:t>
      </w:r>
      <w:proofErr w:type="spellStart"/>
      <w:r w:rsidR="008A44A2" w:rsidRPr="008A44A2">
        <w:rPr>
          <w:rFonts w:ascii="Arial" w:eastAsia="Times New Roman" w:hAnsi="Arial" w:cs="Arial"/>
          <w:sz w:val="24"/>
          <w:szCs w:val="24"/>
        </w:rPr>
        <w:t>Guirola</w:t>
      </w:r>
      <w:proofErr w:type="spellEnd"/>
      <w:r w:rsidR="008A44A2" w:rsidRPr="008A44A2">
        <w:rPr>
          <w:rFonts w:ascii="Arial" w:eastAsia="Times New Roman" w:hAnsi="Arial" w:cs="Arial"/>
          <w:sz w:val="24"/>
          <w:szCs w:val="24"/>
        </w:rPr>
        <w:t xml:space="preserve"> Elizabeth, Palmas Mora Serafín. Síntomas y enfermedades asociadas al climaterio y la menopausia. </w:t>
      </w:r>
      <w:proofErr w:type="spellStart"/>
      <w:r w:rsidR="008A44A2" w:rsidRPr="008A44A2">
        <w:rPr>
          <w:rFonts w:ascii="Arial" w:eastAsia="Times New Roman" w:hAnsi="Arial" w:cs="Arial"/>
          <w:sz w:val="24"/>
          <w:szCs w:val="24"/>
        </w:rPr>
        <w:t>Medicentro</w:t>
      </w:r>
      <w:proofErr w:type="spellEnd"/>
      <w:r w:rsidR="008A44A2" w:rsidRPr="008A44A2">
        <w:rPr>
          <w:rFonts w:ascii="Arial" w:eastAsia="Times New Roman" w:hAnsi="Arial" w:cs="Arial"/>
          <w:sz w:val="24"/>
          <w:szCs w:val="24"/>
        </w:rPr>
        <w:t xml:space="preserve"> Electrónica [Internet]. 2019 Jun [citado 2020 Ene 13];  23(2): 116-124. Disponible en: </w:t>
      </w:r>
      <w:hyperlink r:id="rId9" w:history="1">
        <w:r w:rsidR="008A44A2" w:rsidRPr="008A44A2">
          <w:rPr>
            <w:rStyle w:val="Hipervnculo"/>
            <w:rFonts w:ascii="Arial" w:eastAsia="Times New Roman" w:hAnsi="Arial" w:cs="Arial"/>
            <w:sz w:val="24"/>
            <w:szCs w:val="24"/>
          </w:rPr>
          <w:t xml:space="preserve">http://scielo.sld.cu/scielo. </w:t>
        </w:r>
        <w:proofErr w:type="spellStart"/>
        <w:r w:rsidR="008A44A2" w:rsidRPr="008A44A2">
          <w:rPr>
            <w:rStyle w:val="Hipervnculo"/>
            <w:rFonts w:ascii="Arial" w:eastAsia="Times New Roman" w:hAnsi="Arial" w:cs="Arial"/>
            <w:sz w:val="24"/>
            <w:szCs w:val="24"/>
          </w:rPr>
          <w:t>php?script</w:t>
        </w:r>
        <w:proofErr w:type="spellEnd"/>
        <w:r w:rsidR="008A44A2" w:rsidRPr="008A44A2">
          <w:rPr>
            <w:rStyle w:val="Hipervnculo"/>
            <w:rFonts w:ascii="Arial" w:eastAsia="Times New Roman" w:hAnsi="Arial" w:cs="Arial"/>
            <w:sz w:val="24"/>
            <w:szCs w:val="24"/>
          </w:rPr>
          <w:t>=</w:t>
        </w:r>
        <w:proofErr w:type="spellStart"/>
        <w:r w:rsidR="008A44A2" w:rsidRPr="008A44A2">
          <w:rPr>
            <w:rStyle w:val="Hipervnculo"/>
            <w:rFonts w:ascii="Arial" w:eastAsia="Times New Roman" w:hAnsi="Arial" w:cs="Arial"/>
            <w:sz w:val="24"/>
            <w:szCs w:val="24"/>
          </w:rPr>
          <w:t>sci</w:t>
        </w:r>
        <w:proofErr w:type="spellEnd"/>
        <w:r w:rsidR="008A44A2" w:rsidRPr="008A44A2">
          <w:rPr>
            <w:rStyle w:val="Hipervnculo"/>
            <w:rFonts w:ascii="Arial" w:eastAsia="Times New Roman" w:hAnsi="Arial" w:cs="Arial"/>
            <w:sz w:val="24"/>
            <w:szCs w:val="24"/>
          </w:rPr>
          <w:t xml:space="preserve">_ </w:t>
        </w:r>
        <w:proofErr w:type="spellStart"/>
        <w:r w:rsidR="008A44A2" w:rsidRPr="008A44A2">
          <w:rPr>
            <w:rStyle w:val="Hipervnculo"/>
            <w:rFonts w:ascii="Arial" w:eastAsia="Times New Roman" w:hAnsi="Arial" w:cs="Arial"/>
            <w:sz w:val="24"/>
            <w:szCs w:val="24"/>
          </w:rPr>
          <w:t>arttext&amp;pid</w:t>
        </w:r>
        <w:proofErr w:type="spellEnd"/>
        <w:r w:rsidR="008A44A2" w:rsidRPr="008A44A2">
          <w:rPr>
            <w:rStyle w:val="Hipervnculo"/>
            <w:rFonts w:ascii="Arial" w:eastAsia="Times New Roman" w:hAnsi="Arial" w:cs="Arial"/>
            <w:sz w:val="24"/>
            <w:szCs w:val="24"/>
          </w:rPr>
          <w:t>=S1029-30432019000200116&amp;lng=es</w:t>
        </w:r>
      </w:hyperlink>
      <w:r w:rsidR="008A44A2" w:rsidRPr="008A44A2">
        <w:rPr>
          <w:rFonts w:ascii="Arial" w:eastAsia="Times New Roman" w:hAnsi="Arial" w:cs="Arial"/>
          <w:sz w:val="24"/>
          <w:szCs w:val="24"/>
        </w:rPr>
        <w:t xml:space="preserve"> .</w:t>
      </w:r>
    </w:p>
    <w:p w:rsidR="003F6A5A" w:rsidRPr="008A44A2" w:rsidRDefault="003F6A5A" w:rsidP="005B6AE2">
      <w:pPr>
        <w:autoSpaceDE w:val="0"/>
        <w:autoSpaceDN w:val="0"/>
        <w:adjustRightInd w:val="0"/>
        <w:spacing w:after="0" w:line="240" w:lineRule="auto"/>
        <w:jc w:val="both"/>
        <w:rPr>
          <w:rFonts w:ascii="Arial" w:hAnsi="Arial" w:cs="Arial"/>
          <w:sz w:val="24"/>
          <w:szCs w:val="24"/>
        </w:rPr>
      </w:pPr>
    </w:p>
    <w:p w:rsidR="008A44A2" w:rsidRDefault="00777908" w:rsidP="005B6AE2">
      <w:pPr>
        <w:pStyle w:val="Default"/>
        <w:jc w:val="both"/>
        <w:rPr>
          <w:rFonts w:eastAsia="BookAntiqua"/>
          <w:color w:val="auto"/>
          <w:lang w:val="en-US"/>
        </w:rPr>
      </w:pPr>
      <w:r w:rsidRPr="00777908">
        <w:rPr>
          <w:color w:val="auto"/>
          <w:lang w:val="en-US"/>
        </w:rPr>
        <w:t>6</w:t>
      </w:r>
      <w:r w:rsidR="008A44A2" w:rsidRPr="008A44A2">
        <w:rPr>
          <w:color w:val="auto"/>
          <w:lang w:val="en-US"/>
        </w:rPr>
        <w:t xml:space="preserve">- </w:t>
      </w:r>
      <w:proofErr w:type="spellStart"/>
      <w:r w:rsidR="008A44A2" w:rsidRPr="008A44A2">
        <w:rPr>
          <w:rFonts w:eastAsia="BookAntiqua"/>
          <w:color w:val="auto"/>
          <w:lang w:val="en-US"/>
        </w:rPr>
        <w:t>Orrico</w:t>
      </w:r>
      <w:proofErr w:type="spellEnd"/>
      <w:r w:rsidR="008A44A2" w:rsidRPr="008A44A2">
        <w:rPr>
          <w:rFonts w:eastAsia="BookAntiqua"/>
          <w:color w:val="auto"/>
          <w:lang w:val="en-US"/>
        </w:rPr>
        <w:t xml:space="preserve"> S, </w:t>
      </w:r>
      <w:proofErr w:type="spellStart"/>
      <w:r w:rsidR="008A44A2" w:rsidRPr="008A44A2">
        <w:rPr>
          <w:rFonts w:eastAsia="BookAntiqua"/>
          <w:color w:val="auto"/>
          <w:lang w:val="en-US"/>
        </w:rPr>
        <w:t>Giro</w:t>
      </w:r>
      <w:proofErr w:type="spellEnd"/>
      <w:r w:rsidR="008A44A2" w:rsidRPr="008A44A2">
        <w:rPr>
          <w:rFonts w:eastAsia="BookAntiqua"/>
          <w:color w:val="auto"/>
          <w:lang w:val="en-US"/>
        </w:rPr>
        <w:t xml:space="preserve"> G, </w:t>
      </w:r>
      <w:proofErr w:type="spellStart"/>
      <w:r w:rsidR="008A44A2" w:rsidRPr="008A44A2">
        <w:rPr>
          <w:rFonts w:eastAsia="BookAntiqua"/>
          <w:color w:val="auto"/>
          <w:lang w:val="en-US"/>
        </w:rPr>
        <w:t>Goncalves</w:t>
      </w:r>
      <w:proofErr w:type="spellEnd"/>
      <w:r w:rsidR="008A44A2" w:rsidRPr="008A44A2">
        <w:rPr>
          <w:rFonts w:eastAsia="BookAntiqua"/>
          <w:color w:val="auto"/>
          <w:lang w:val="en-US"/>
        </w:rPr>
        <w:t xml:space="preserve"> D, </w:t>
      </w:r>
      <w:proofErr w:type="spellStart"/>
      <w:r w:rsidR="008A44A2" w:rsidRPr="008A44A2">
        <w:rPr>
          <w:rFonts w:eastAsia="BookAntiqua"/>
          <w:color w:val="auto"/>
          <w:lang w:val="en-US"/>
        </w:rPr>
        <w:t>Takayama</w:t>
      </w:r>
      <w:proofErr w:type="spellEnd"/>
      <w:r w:rsidR="008A44A2" w:rsidRPr="008A44A2">
        <w:rPr>
          <w:rFonts w:eastAsia="BookAntiqua"/>
          <w:color w:val="auto"/>
          <w:lang w:val="en-US"/>
        </w:rPr>
        <w:t xml:space="preserve"> L, Pereira R. Influence of </w:t>
      </w:r>
      <w:proofErr w:type="spellStart"/>
      <w:r w:rsidR="008A44A2" w:rsidRPr="008A44A2">
        <w:rPr>
          <w:rFonts w:eastAsia="BookAntiqua"/>
          <w:color w:val="auto"/>
          <w:lang w:val="en-US"/>
        </w:rPr>
        <w:t>thePeriodOvariecomyon</w:t>
      </w:r>
      <w:proofErr w:type="spellEnd"/>
      <w:r w:rsidR="008A44A2" w:rsidRPr="008A44A2">
        <w:rPr>
          <w:rFonts w:eastAsia="BookAntiqua"/>
          <w:color w:val="auto"/>
          <w:lang w:val="en-US"/>
        </w:rPr>
        <w:t xml:space="preserve"> Femoral and Mandibular </w:t>
      </w:r>
      <w:proofErr w:type="spellStart"/>
      <w:r w:rsidR="008A44A2" w:rsidRPr="008A44A2">
        <w:rPr>
          <w:rFonts w:eastAsia="BookAntiqua"/>
          <w:color w:val="auto"/>
          <w:lang w:val="en-US"/>
        </w:rPr>
        <w:t>BoneDensity</w:t>
      </w:r>
      <w:proofErr w:type="spellEnd"/>
      <w:r w:rsidR="008A44A2" w:rsidRPr="008A44A2">
        <w:rPr>
          <w:rFonts w:eastAsia="BookAntiqua"/>
          <w:color w:val="auto"/>
          <w:lang w:val="en-US"/>
        </w:rPr>
        <w:t xml:space="preserve"> and </w:t>
      </w:r>
      <w:proofErr w:type="spellStart"/>
      <w:r w:rsidR="008A44A2" w:rsidRPr="008A44A2">
        <w:rPr>
          <w:rFonts w:eastAsia="BookAntiqua"/>
          <w:color w:val="auto"/>
          <w:lang w:val="en-US"/>
        </w:rPr>
        <w:t>onInduced</w:t>
      </w:r>
      <w:proofErr w:type="spellEnd"/>
      <w:r w:rsidR="008A44A2" w:rsidRPr="008A44A2">
        <w:rPr>
          <w:rFonts w:eastAsia="BookAntiqua"/>
          <w:color w:val="auto"/>
          <w:lang w:val="en-US"/>
        </w:rPr>
        <w:t xml:space="preserve"> Periodontal Disease. </w:t>
      </w:r>
      <w:proofErr w:type="spellStart"/>
      <w:r w:rsidR="008A44A2" w:rsidRPr="008A44A2">
        <w:rPr>
          <w:rFonts w:eastAsia="BookAntiqua"/>
          <w:color w:val="auto"/>
          <w:lang w:val="en-US"/>
        </w:rPr>
        <w:t>J.Periodontol</w:t>
      </w:r>
      <w:proofErr w:type="spellEnd"/>
      <w:r w:rsidR="008A44A2" w:rsidRPr="008A44A2">
        <w:rPr>
          <w:rFonts w:eastAsia="BookAntiqua"/>
          <w:color w:val="auto"/>
          <w:lang w:val="en-US"/>
        </w:rPr>
        <w:t>. 2017; 78 (1): 164-169.</w:t>
      </w:r>
    </w:p>
    <w:p w:rsidR="003F6A5A" w:rsidRPr="008A44A2" w:rsidRDefault="003F6A5A" w:rsidP="005B6AE2">
      <w:pPr>
        <w:pStyle w:val="Default"/>
        <w:jc w:val="both"/>
        <w:rPr>
          <w:rFonts w:eastAsia="BookAntiqua"/>
          <w:color w:val="auto"/>
          <w:lang w:val="en-US"/>
        </w:rPr>
      </w:pPr>
    </w:p>
    <w:p w:rsidR="008A44A2" w:rsidRDefault="00777908" w:rsidP="005B6AE2">
      <w:pPr>
        <w:spacing w:after="0" w:line="240" w:lineRule="auto"/>
        <w:jc w:val="both"/>
        <w:rPr>
          <w:rFonts w:ascii="Arial" w:hAnsi="Arial" w:cs="Arial"/>
          <w:sz w:val="24"/>
          <w:szCs w:val="24"/>
          <w:lang w:val="en-US"/>
        </w:rPr>
      </w:pPr>
      <w:r>
        <w:rPr>
          <w:rFonts w:ascii="Arial" w:hAnsi="Arial" w:cs="Arial"/>
          <w:sz w:val="24"/>
          <w:szCs w:val="24"/>
          <w:lang w:val="en-US"/>
        </w:rPr>
        <w:t>7</w:t>
      </w:r>
      <w:r w:rsidR="008A44A2" w:rsidRPr="008A44A2">
        <w:rPr>
          <w:rFonts w:ascii="Arial" w:hAnsi="Arial" w:cs="Arial"/>
          <w:sz w:val="24"/>
          <w:szCs w:val="24"/>
          <w:lang w:val="en-US"/>
        </w:rPr>
        <w:t xml:space="preserve">- </w:t>
      </w:r>
      <w:proofErr w:type="spellStart"/>
      <w:r w:rsidR="008A44A2" w:rsidRPr="008A44A2">
        <w:rPr>
          <w:rFonts w:ascii="Arial" w:hAnsi="Arial" w:cs="Arial"/>
          <w:sz w:val="24"/>
          <w:szCs w:val="24"/>
          <w:lang w:val="en-US"/>
        </w:rPr>
        <w:t>Dunneram</w:t>
      </w:r>
      <w:proofErr w:type="spellEnd"/>
      <w:r w:rsidR="008A44A2" w:rsidRPr="008A44A2">
        <w:rPr>
          <w:rFonts w:ascii="Arial" w:hAnsi="Arial" w:cs="Arial"/>
          <w:sz w:val="24"/>
          <w:szCs w:val="24"/>
          <w:lang w:val="en-US"/>
        </w:rPr>
        <w:t xml:space="preserve"> Y, Greenwood DC, Burley VJ, Cade JE. Dietary intake and age at natural menopause: results from the UK Women’s Cohort Study. J </w:t>
      </w:r>
      <w:proofErr w:type="spellStart"/>
      <w:r w:rsidR="008A44A2" w:rsidRPr="008A44A2">
        <w:rPr>
          <w:rFonts w:ascii="Arial" w:hAnsi="Arial" w:cs="Arial"/>
          <w:sz w:val="24"/>
          <w:szCs w:val="24"/>
          <w:lang w:val="en-US"/>
        </w:rPr>
        <w:t>Epidemiol</w:t>
      </w:r>
      <w:proofErr w:type="spellEnd"/>
      <w:r w:rsidR="008A44A2" w:rsidRPr="008A44A2">
        <w:rPr>
          <w:rFonts w:ascii="Arial" w:hAnsi="Arial" w:cs="Arial"/>
          <w:sz w:val="24"/>
          <w:szCs w:val="24"/>
          <w:lang w:val="en-US"/>
        </w:rPr>
        <w:t xml:space="preserve"> Community Health Published Online First: 30 April 2018.doi: 10.1136/jech-2017-209887.</w:t>
      </w:r>
    </w:p>
    <w:p w:rsidR="00621B53" w:rsidRDefault="00621B53" w:rsidP="005B6AE2">
      <w:pPr>
        <w:spacing w:after="0" w:line="240" w:lineRule="auto"/>
        <w:jc w:val="both"/>
        <w:rPr>
          <w:rFonts w:ascii="Arial" w:hAnsi="Arial" w:cs="Arial"/>
          <w:sz w:val="24"/>
          <w:szCs w:val="24"/>
          <w:lang w:val="en-US"/>
        </w:rPr>
      </w:pPr>
    </w:p>
    <w:p w:rsidR="00621B53" w:rsidRDefault="00621B53" w:rsidP="005B6AE2">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8</w:t>
      </w:r>
      <w:r w:rsidRPr="000D2864">
        <w:rPr>
          <w:rFonts w:ascii="Arial" w:eastAsia="Times New Roman" w:hAnsi="Arial" w:cs="Arial"/>
          <w:sz w:val="24"/>
          <w:szCs w:val="24"/>
          <w:lang w:val="en-US"/>
        </w:rPr>
        <w:t xml:space="preserve">-Siseles N, Gutiérrez P. Do the different cultures really explain different attitudes to the management of menopause? </w:t>
      </w:r>
      <w:proofErr w:type="spellStart"/>
      <w:r w:rsidRPr="000D2864">
        <w:rPr>
          <w:rFonts w:ascii="Arial" w:eastAsia="Times New Roman" w:hAnsi="Arial" w:cs="Arial"/>
          <w:sz w:val="24"/>
          <w:szCs w:val="24"/>
          <w:lang w:val="en-US"/>
        </w:rPr>
        <w:t>Medicographie</w:t>
      </w:r>
      <w:proofErr w:type="spellEnd"/>
      <w:r w:rsidRPr="000D2864">
        <w:rPr>
          <w:rFonts w:ascii="Arial" w:eastAsia="Times New Roman" w:hAnsi="Arial" w:cs="Arial"/>
          <w:sz w:val="24"/>
          <w:szCs w:val="24"/>
          <w:lang w:val="en-US"/>
        </w:rPr>
        <w:t>. 2015</w:t>
      </w:r>
      <w:proofErr w:type="gramStart"/>
      <w:r w:rsidRPr="000D2864">
        <w:rPr>
          <w:rFonts w:ascii="Arial" w:eastAsia="Times New Roman" w:hAnsi="Arial" w:cs="Arial"/>
          <w:sz w:val="24"/>
          <w:szCs w:val="24"/>
          <w:lang w:val="en-US"/>
        </w:rPr>
        <w:t>;23</w:t>
      </w:r>
      <w:proofErr w:type="gramEnd"/>
      <w:r w:rsidRPr="000D2864">
        <w:rPr>
          <w:rFonts w:ascii="Arial" w:eastAsia="Times New Roman" w:hAnsi="Arial" w:cs="Arial"/>
          <w:sz w:val="24"/>
          <w:szCs w:val="24"/>
          <w:lang w:val="en-US"/>
        </w:rPr>
        <w:t xml:space="preserve">(4):313-4. </w:t>
      </w:r>
    </w:p>
    <w:p w:rsidR="00621B53" w:rsidRPr="003F6A5A" w:rsidRDefault="00621B53" w:rsidP="005B6AE2">
      <w:pPr>
        <w:spacing w:after="0" w:line="240" w:lineRule="auto"/>
        <w:jc w:val="both"/>
        <w:rPr>
          <w:rFonts w:ascii="Arial" w:eastAsia="Times New Roman" w:hAnsi="Arial" w:cs="Arial"/>
          <w:sz w:val="24"/>
          <w:szCs w:val="24"/>
          <w:u w:val="single"/>
          <w:lang w:val="en-US"/>
        </w:rPr>
      </w:pPr>
    </w:p>
    <w:p w:rsidR="00621B53" w:rsidRPr="006369FA" w:rsidRDefault="00621B53" w:rsidP="005B6AE2">
      <w:pPr>
        <w:spacing w:after="0" w:line="240" w:lineRule="auto"/>
        <w:jc w:val="both"/>
        <w:rPr>
          <w:rFonts w:ascii="Arial" w:hAnsi="Arial" w:cs="Arial"/>
          <w:sz w:val="24"/>
          <w:szCs w:val="24"/>
          <w:lang w:val="en-US"/>
        </w:rPr>
      </w:pPr>
      <w:r>
        <w:rPr>
          <w:rFonts w:ascii="Arial" w:eastAsia="Times New Roman" w:hAnsi="Arial" w:cs="Arial"/>
          <w:sz w:val="24"/>
          <w:szCs w:val="24"/>
          <w:lang w:val="en-US"/>
        </w:rPr>
        <w:t>9</w:t>
      </w:r>
      <w:r w:rsidRPr="00102765">
        <w:rPr>
          <w:rFonts w:ascii="Arial" w:eastAsia="Times New Roman" w:hAnsi="Arial" w:cs="Arial"/>
          <w:sz w:val="24"/>
          <w:szCs w:val="24"/>
          <w:lang w:val="en-US"/>
        </w:rPr>
        <w:t>-</w:t>
      </w:r>
      <w:r w:rsidR="006369FA" w:rsidRPr="008A44A2">
        <w:rPr>
          <w:rFonts w:ascii="Arial" w:hAnsi="Arial" w:cs="Arial"/>
          <w:sz w:val="24"/>
          <w:szCs w:val="24"/>
          <w:lang w:val="en-US"/>
        </w:rPr>
        <w:t xml:space="preserve">Simin J, </w:t>
      </w:r>
      <w:proofErr w:type="spellStart"/>
      <w:r w:rsidR="006369FA" w:rsidRPr="008A44A2">
        <w:rPr>
          <w:rFonts w:ascii="Arial" w:hAnsi="Arial" w:cs="Arial"/>
          <w:sz w:val="24"/>
          <w:szCs w:val="24"/>
          <w:lang w:val="en-US"/>
        </w:rPr>
        <w:t>Tamimi</w:t>
      </w:r>
      <w:proofErr w:type="spellEnd"/>
      <w:r w:rsidR="006369FA" w:rsidRPr="008A44A2">
        <w:rPr>
          <w:rFonts w:ascii="Arial" w:hAnsi="Arial" w:cs="Arial"/>
          <w:sz w:val="24"/>
          <w:szCs w:val="24"/>
          <w:lang w:val="en-US"/>
        </w:rPr>
        <w:t xml:space="preserve"> R, </w:t>
      </w:r>
      <w:proofErr w:type="spellStart"/>
      <w:r w:rsidR="006369FA" w:rsidRPr="008A44A2">
        <w:rPr>
          <w:rFonts w:ascii="Arial" w:hAnsi="Arial" w:cs="Arial"/>
          <w:sz w:val="24"/>
          <w:szCs w:val="24"/>
          <w:lang w:val="en-US"/>
        </w:rPr>
        <w:t>Lagergren</w:t>
      </w:r>
      <w:proofErr w:type="spellEnd"/>
      <w:r w:rsidR="006369FA" w:rsidRPr="008A44A2">
        <w:rPr>
          <w:rFonts w:ascii="Arial" w:hAnsi="Arial" w:cs="Arial"/>
          <w:sz w:val="24"/>
          <w:szCs w:val="24"/>
          <w:lang w:val="en-US"/>
        </w:rPr>
        <w:t xml:space="preserve"> J, </w:t>
      </w:r>
      <w:proofErr w:type="spellStart"/>
      <w:r w:rsidR="006369FA" w:rsidRPr="008A44A2">
        <w:rPr>
          <w:rFonts w:ascii="Arial" w:hAnsi="Arial" w:cs="Arial"/>
          <w:sz w:val="24"/>
          <w:szCs w:val="24"/>
          <w:lang w:val="en-US"/>
        </w:rPr>
        <w:t>Adami</w:t>
      </w:r>
      <w:proofErr w:type="spellEnd"/>
      <w:r w:rsidR="006369FA" w:rsidRPr="008A44A2">
        <w:rPr>
          <w:rFonts w:ascii="Arial" w:hAnsi="Arial" w:cs="Arial"/>
          <w:sz w:val="24"/>
          <w:szCs w:val="24"/>
          <w:lang w:val="en-US"/>
        </w:rPr>
        <w:t xml:space="preserve"> HO, </w:t>
      </w:r>
      <w:proofErr w:type="spellStart"/>
      <w:r w:rsidR="006369FA" w:rsidRPr="008A44A2">
        <w:rPr>
          <w:rFonts w:ascii="Arial" w:hAnsi="Arial" w:cs="Arial"/>
          <w:sz w:val="24"/>
          <w:szCs w:val="24"/>
          <w:lang w:val="en-US"/>
        </w:rPr>
        <w:t>Brusselaers</w:t>
      </w:r>
      <w:proofErr w:type="spellEnd"/>
      <w:r w:rsidR="006369FA" w:rsidRPr="008A44A2">
        <w:rPr>
          <w:rFonts w:ascii="Arial" w:hAnsi="Arial" w:cs="Arial"/>
          <w:sz w:val="24"/>
          <w:szCs w:val="24"/>
          <w:lang w:val="en-US"/>
        </w:rPr>
        <w:t xml:space="preserve"> N. Menopausal hormone therapy and cancer risk: An overestimated risk? </w:t>
      </w:r>
      <w:proofErr w:type="spellStart"/>
      <w:r w:rsidR="006369FA" w:rsidRPr="008A44A2">
        <w:rPr>
          <w:rFonts w:ascii="Arial" w:hAnsi="Arial" w:cs="Arial"/>
          <w:sz w:val="24"/>
          <w:szCs w:val="24"/>
          <w:lang w:val="en-US"/>
        </w:rPr>
        <w:t>Eur</w:t>
      </w:r>
      <w:proofErr w:type="spellEnd"/>
      <w:r w:rsidR="006369FA" w:rsidRPr="008A44A2">
        <w:rPr>
          <w:rFonts w:ascii="Arial" w:hAnsi="Arial" w:cs="Arial"/>
          <w:sz w:val="24"/>
          <w:szCs w:val="24"/>
          <w:lang w:val="en-US"/>
        </w:rPr>
        <w:t xml:space="preserve"> J Cancer. 2017 Aug 4; 84:60-68.doi: 10.1016/j.ejca.2017.07.012. [</w:t>
      </w:r>
      <w:proofErr w:type="spellStart"/>
      <w:r w:rsidR="006369FA" w:rsidRPr="008A44A2">
        <w:rPr>
          <w:rFonts w:ascii="Arial" w:hAnsi="Arial" w:cs="Arial"/>
          <w:sz w:val="24"/>
          <w:szCs w:val="24"/>
          <w:lang w:val="en-US"/>
        </w:rPr>
        <w:t>Epub</w:t>
      </w:r>
      <w:proofErr w:type="spellEnd"/>
      <w:r w:rsidR="006369FA" w:rsidRPr="008A44A2">
        <w:rPr>
          <w:rFonts w:ascii="Arial" w:hAnsi="Arial" w:cs="Arial"/>
          <w:sz w:val="24"/>
          <w:szCs w:val="24"/>
          <w:lang w:val="en-US"/>
        </w:rPr>
        <w:t xml:space="preserve"> ahead of print]     </w:t>
      </w:r>
    </w:p>
    <w:p w:rsidR="00621B53" w:rsidRDefault="00621B53" w:rsidP="005B6AE2">
      <w:pPr>
        <w:spacing w:after="0" w:line="240" w:lineRule="auto"/>
        <w:jc w:val="both"/>
        <w:rPr>
          <w:rFonts w:ascii="Arial" w:hAnsi="Arial" w:cs="Arial"/>
          <w:sz w:val="24"/>
          <w:szCs w:val="24"/>
          <w:lang w:val="en-US"/>
        </w:rPr>
      </w:pPr>
    </w:p>
    <w:p w:rsidR="003F6A5A" w:rsidRPr="008A44A2" w:rsidRDefault="003F6A5A" w:rsidP="005B6AE2">
      <w:pPr>
        <w:spacing w:after="0" w:line="240" w:lineRule="auto"/>
        <w:jc w:val="both"/>
        <w:rPr>
          <w:rFonts w:ascii="Arial" w:hAnsi="Arial" w:cs="Arial"/>
          <w:sz w:val="24"/>
          <w:szCs w:val="24"/>
          <w:lang w:val="en-US"/>
        </w:rPr>
      </w:pPr>
    </w:p>
    <w:p w:rsidR="006369FA" w:rsidRPr="00621B53" w:rsidRDefault="00621B53" w:rsidP="005B6AE2">
      <w:pPr>
        <w:autoSpaceDE w:val="0"/>
        <w:autoSpaceDN w:val="0"/>
        <w:adjustRightInd w:val="0"/>
        <w:spacing w:after="0" w:line="240" w:lineRule="auto"/>
        <w:jc w:val="both"/>
        <w:rPr>
          <w:rFonts w:ascii="Arial" w:eastAsia="Times New Roman" w:hAnsi="Arial" w:cs="Arial"/>
          <w:color w:val="92D050"/>
          <w:sz w:val="24"/>
          <w:szCs w:val="24"/>
          <w:lang w:val="en-US"/>
        </w:rPr>
      </w:pPr>
      <w:r>
        <w:rPr>
          <w:rFonts w:ascii="Arial" w:hAnsi="Arial" w:cs="Arial"/>
          <w:sz w:val="24"/>
          <w:szCs w:val="24"/>
          <w:lang w:val="en-US"/>
        </w:rPr>
        <w:t>10</w:t>
      </w:r>
      <w:r w:rsidR="008A44A2" w:rsidRPr="008A44A2">
        <w:rPr>
          <w:rFonts w:ascii="Arial" w:hAnsi="Arial" w:cs="Arial"/>
          <w:sz w:val="24"/>
          <w:szCs w:val="24"/>
          <w:lang w:val="en-US"/>
        </w:rPr>
        <w:t xml:space="preserve">- </w:t>
      </w:r>
      <w:r w:rsidR="006369FA" w:rsidRPr="00102765">
        <w:rPr>
          <w:rFonts w:ascii="Arial" w:eastAsia="Times New Roman" w:hAnsi="Arial" w:cs="Arial"/>
          <w:sz w:val="24"/>
          <w:szCs w:val="24"/>
          <w:lang w:val="en-US"/>
        </w:rPr>
        <w:t xml:space="preserve">Avis NE, Crawford SL, Greendale G, </w:t>
      </w:r>
      <w:proofErr w:type="spellStart"/>
      <w:r w:rsidR="006369FA" w:rsidRPr="00102765">
        <w:rPr>
          <w:rFonts w:ascii="Arial" w:eastAsia="Times New Roman" w:hAnsi="Arial" w:cs="Arial"/>
          <w:sz w:val="24"/>
          <w:szCs w:val="24"/>
          <w:lang w:val="en-US"/>
        </w:rPr>
        <w:t>Bromberger</w:t>
      </w:r>
      <w:proofErr w:type="spellEnd"/>
      <w:r w:rsidR="006369FA" w:rsidRPr="00102765">
        <w:rPr>
          <w:rFonts w:ascii="Arial" w:eastAsia="Times New Roman" w:hAnsi="Arial" w:cs="Arial"/>
          <w:sz w:val="24"/>
          <w:szCs w:val="24"/>
          <w:lang w:val="en-US"/>
        </w:rPr>
        <w:t xml:space="preserve"> JT, Everson-Rose SA, Gold EB, et al; Study of Women’s Health </w:t>
      </w:r>
      <w:proofErr w:type="gramStart"/>
      <w:r w:rsidR="006369FA" w:rsidRPr="00102765">
        <w:rPr>
          <w:rFonts w:ascii="Arial" w:eastAsia="Times New Roman" w:hAnsi="Arial" w:cs="Arial"/>
          <w:sz w:val="24"/>
          <w:szCs w:val="24"/>
          <w:lang w:val="en-US"/>
        </w:rPr>
        <w:t>Across</w:t>
      </w:r>
      <w:proofErr w:type="gramEnd"/>
      <w:r w:rsidR="006369FA" w:rsidRPr="00102765">
        <w:rPr>
          <w:rFonts w:ascii="Arial" w:eastAsia="Times New Roman" w:hAnsi="Arial" w:cs="Arial"/>
          <w:sz w:val="24"/>
          <w:szCs w:val="24"/>
          <w:lang w:val="en-US"/>
        </w:rPr>
        <w:t xml:space="preserve"> the Nation. Duration of menopausal vasomotor symptoms over the menopause transition. JAMA Intern Med. 2015</w:t>
      </w:r>
      <w:proofErr w:type="gramStart"/>
      <w:r w:rsidR="006369FA" w:rsidRPr="00102765">
        <w:rPr>
          <w:rFonts w:ascii="Arial" w:eastAsia="Times New Roman" w:hAnsi="Arial" w:cs="Arial"/>
          <w:sz w:val="24"/>
          <w:szCs w:val="24"/>
          <w:lang w:val="en-US"/>
        </w:rPr>
        <w:t>;175</w:t>
      </w:r>
      <w:proofErr w:type="gramEnd"/>
      <w:r w:rsidR="006369FA" w:rsidRPr="00102765">
        <w:rPr>
          <w:rFonts w:ascii="Arial" w:eastAsia="Times New Roman" w:hAnsi="Arial" w:cs="Arial"/>
          <w:sz w:val="24"/>
          <w:szCs w:val="24"/>
          <w:lang w:val="en-US"/>
        </w:rPr>
        <w:t xml:space="preserve">(4):531-9. </w:t>
      </w:r>
      <w:proofErr w:type="spellStart"/>
      <w:r w:rsidR="006369FA" w:rsidRPr="00621B53">
        <w:rPr>
          <w:rFonts w:ascii="Arial" w:eastAsia="Times New Roman" w:hAnsi="Arial" w:cs="Arial"/>
          <w:sz w:val="24"/>
          <w:szCs w:val="24"/>
          <w:lang w:val="en-US"/>
        </w:rPr>
        <w:t>PubMed</w:t>
      </w:r>
      <w:hyperlink r:id="rId10" w:history="1">
        <w:r w:rsidR="006369FA" w:rsidRPr="00621B53">
          <w:rPr>
            <w:rFonts w:ascii="Arial" w:eastAsia="Times New Roman" w:hAnsi="Arial" w:cs="Arial"/>
            <w:sz w:val="24"/>
            <w:szCs w:val="24"/>
            <w:u w:val="single"/>
            <w:lang w:val="en-US"/>
          </w:rPr>
          <w:t>PMID</w:t>
        </w:r>
        <w:proofErr w:type="spellEnd"/>
        <w:r w:rsidR="006369FA" w:rsidRPr="00621B53">
          <w:rPr>
            <w:rFonts w:ascii="Arial" w:eastAsia="Times New Roman" w:hAnsi="Arial" w:cs="Arial"/>
            <w:sz w:val="24"/>
            <w:szCs w:val="24"/>
            <w:u w:val="single"/>
            <w:lang w:val="en-US"/>
          </w:rPr>
          <w:t>: 25686030</w:t>
        </w:r>
      </w:hyperlink>
      <w:r w:rsidR="006369FA" w:rsidRPr="00621B53">
        <w:rPr>
          <w:rFonts w:ascii="Arial" w:eastAsia="Times New Roman" w:hAnsi="Arial" w:cs="Arial"/>
          <w:sz w:val="24"/>
          <w:szCs w:val="24"/>
          <w:lang w:val="en-US"/>
        </w:rPr>
        <w:t>.</w:t>
      </w:r>
    </w:p>
    <w:p w:rsidR="006369FA" w:rsidRDefault="006369FA" w:rsidP="005B6AE2">
      <w:pPr>
        <w:spacing w:after="0" w:line="240" w:lineRule="auto"/>
        <w:jc w:val="both"/>
        <w:rPr>
          <w:rFonts w:ascii="Arial" w:hAnsi="Arial" w:cs="Arial"/>
          <w:sz w:val="24"/>
          <w:szCs w:val="24"/>
          <w:lang w:val="en-US"/>
        </w:rPr>
      </w:pPr>
    </w:p>
    <w:p w:rsidR="00621B53" w:rsidRDefault="00621B53" w:rsidP="005B6AE2">
      <w:pPr>
        <w:spacing w:after="0" w:line="240" w:lineRule="auto"/>
        <w:jc w:val="both"/>
        <w:rPr>
          <w:rFonts w:ascii="Arial" w:hAnsi="Arial" w:cs="Arial"/>
          <w:sz w:val="24"/>
          <w:szCs w:val="24"/>
          <w:lang w:val="es-MX"/>
        </w:rPr>
      </w:pPr>
      <w:r>
        <w:rPr>
          <w:rFonts w:ascii="Arial" w:hAnsi="Arial" w:cs="Arial"/>
          <w:sz w:val="24"/>
          <w:szCs w:val="24"/>
          <w:lang w:val="es-MX"/>
        </w:rPr>
        <w:t> </w:t>
      </w:r>
    </w:p>
    <w:p w:rsidR="008A44A2" w:rsidRPr="00621B53" w:rsidRDefault="00621B53" w:rsidP="005B6AE2">
      <w:pPr>
        <w:spacing w:after="0" w:line="240" w:lineRule="auto"/>
        <w:jc w:val="both"/>
        <w:rPr>
          <w:rFonts w:ascii="Arial" w:hAnsi="Arial" w:cs="Arial"/>
          <w:sz w:val="24"/>
          <w:szCs w:val="24"/>
          <w:lang w:val="es-MX"/>
        </w:rPr>
      </w:pPr>
      <w:r>
        <w:rPr>
          <w:rFonts w:ascii="Arial" w:hAnsi="Arial" w:cs="Arial"/>
          <w:sz w:val="24"/>
          <w:szCs w:val="24"/>
          <w:lang w:val="es-MX"/>
        </w:rPr>
        <w:t>11</w:t>
      </w:r>
      <w:r w:rsidR="008A44A2" w:rsidRPr="008A44A2">
        <w:rPr>
          <w:rFonts w:ascii="Arial" w:hAnsi="Arial" w:cs="Arial"/>
          <w:sz w:val="24"/>
          <w:szCs w:val="24"/>
        </w:rPr>
        <w:t xml:space="preserve">- Molina-Valencia J, Marín-Castro AE, Vargas-Grisales N, Rojas-Jiménez S, Lopera-Valle JS, Cardona-Vélez J et </w:t>
      </w:r>
      <w:proofErr w:type="gramStart"/>
      <w:r w:rsidR="008A44A2" w:rsidRPr="008A44A2">
        <w:rPr>
          <w:rFonts w:ascii="Arial" w:hAnsi="Arial" w:cs="Arial"/>
          <w:sz w:val="24"/>
          <w:szCs w:val="24"/>
        </w:rPr>
        <w:t>al .</w:t>
      </w:r>
      <w:proofErr w:type="gramEnd"/>
      <w:r w:rsidR="008A44A2" w:rsidRPr="008A44A2">
        <w:rPr>
          <w:rFonts w:ascii="Arial" w:hAnsi="Arial" w:cs="Arial"/>
          <w:sz w:val="24"/>
          <w:szCs w:val="24"/>
        </w:rPr>
        <w:t xml:space="preserve"> Características clínicas de mujeres menopáusicas de una clínica privada de la ciudad de Medellín, Colombia. </w:t>
      </w:r>
      <w:proofErr w:type="spellStart"/>
      <w:r w:rsidR="008A44A2" w:rsidRPr="008A44A2">
        <w:rPr>
          <w:rFonts w:ascii="Arial" w:hAnsi="Arial" w:cs="Arial"/>
          <w:sz w:val="24"/>
          <w:szCs w:val="24"/>
        </w:rPr>
        <w:t>Ginecol</w:t>
      </w:r>
      <w:proofErr w:type="spellEnd"/>
      <w:r w:rsidR="008A44A2" w:rsidRPr="008A44A2">
        <w:rPr>
          <w:rFonts w:ascii="Arial" w:hAnsi="Arial" w:cs="Arial"/>
          <w:sz w:val="24"/>
          <w:szCs w:val="24"/>
        </w:rPr>
        <w:t xml:space="preserve">. </w:t>
      </w:r>
      <w:proofErr w:type="spellStart"/>
      <w:r w:rsidR="008A44A2" w:rsidRPr="008A44A2">
        <w:rPr>
          <w:rFonts w:ascii="Arial" w:hAnsi="Arial" w:cs="Arial"/>
          <w:sz w:val="24"/>
          <w:szCs w:val="24"/>
        </w:rPr>
        <w:t>obstet</w:t>
      </w:r>
      <w:proofErr w:type="spellEnd"/>
      <w:r w:rsidR="008A44A2" w:rsidRPr="008A44A2">
        <w:rPr>
          <w:rFonts w:ascii="Arial" w:hAnsi="Arial" w:cs="Arial"/>
          <w:sz w:val="24"/>
          <w:szCs w:val="24"/>
        </w:rPr>
        <w:t xml:space="preserve">. </w:t>
      </w:r>
      <w:proofErr w:type="spellStart"/>
      <w:r w:rsidR="008A44A2" w:rsidRPr="008A44A2">
        <w:rPr>
          <w:rFonts w:ascii="Arial" w:hAnsi="Arial" w:cs="Arial"/>
          <w:sz w:val="24"/>
          <w:szCs w:val="24"/>
        </w:rPr>
        <w:t>Méx</w:t>
      </w:r>
      <w:proofErr w:type="spellEnd"/>
      <w:r w:rsidR="008A44A2" w:rsidRPr="008A44A2">
        <w:rPr>
          <w:rFonts w:ascii="Arial" w:hAnsi="Arial" w:cs="Arial"/>
          <w:sz w:val="24"/>
          <w:szCs w:val="24"/>
        </w:rPr>
        <w:t>.  [Revista en la Internet]. 2017</w:t>
      </w:r>
      <w:proofErr w:type="gramStart"/>
      <w:r w:rsidR="008A44A2" w:rsidRPr="008A44A2">
        <w:rPr>
          <w:rFonts w:ascii="Arial" w:hAnsi="Arial" w:cs="Arial"/>
          <w:sz w:val="24"/>
          <w:szCs w:val="24"/>
        </w:rPr>
        <w:t>  [</w:t>
      </w:r>
      <w:proofErr w:type="gramEnd"/>
      <w:r w:rsidR="008A44A2" w:rsidRPr="008A44A2">
        <w:rPr>
          <w:rFonts w:ascii="Arial" w:hAnsi="Arial" w:cs="Arial"/>
          <w:sz w:val="24"/>
          <w:szCs w:val="24"/>
        </w:rPr>
        <w:t xml:space="preserve">citado  2020  Ene  13] ;  85( 4 ): 234-240. Disponible en: </w:t>
      </w:r>
      <w:hyperlink r:id="rId11" w:history="1">
        <w:r w:rsidR="008A44A2" w:rsidRPr="008A44A2">
          <w:rPr>
            <w:rStyle w:val="Hipervnculo"/>
            <w:rFonts w:ascii="Arial" w:hAnsi="Arial" w:cs="Arial"/>
            <w:sz w:val="24"/>
            <w:szCs w:val="24"/>
          </w:rPr>
          <w:t xml:space="preserve">http://www.scielo.org.mx/scielo.php?script=sci_ </w:t>
        </w:r>
        <w:proofErr w:type="spellStart"/>
        <w:r w:rsidR="008A44A2" w:rsidRPr="008A44A2">
          <w:rPr>
            <w:rStyle w:val="Hipervnculo"/>
            <w:rFonts w:ascii="Arial" w:hAnsi="Arial" w:cs="Arial"/>
            <w:sz w:val="24"/>
            <w:szCs w:val="24"/>
          </w:rPr>
          <w:t>arttext&amp;pid</w:t>
        </w:r>
        <w:proofErr w:type="spellEnd"/>
        <w:r w:rsidR="008A44A2" w:rsidRPr="008A44A2">
          <w:rPr>
            <w:rStyle w:val="Hipervnculo"/>
            <w:rFonts w:ascii="Arial" w:hAnsi="Arial" w:cs="Arial"/>
            <w:sz w:val="24"/>
            <w:szCs w:val="24"/>
          </w:rPr>
          <w:t>= S0300-90412017000400004&amp;lng=es</w:t>
        </w:r>
      </w:hyperlink>
      <w:r w:rsidR="008A44A2" w:rsidRPr="008A44A2">
        <w:rPr>
          <w:rFonts w:ascii="Arial" w:hAnsi="Arial" w:cs="Arial"/>
          <w:sz w:val="24"/>
          <w:szCs w:val="24"/>
        </w:rPr>
        <w:t xml:space="preserve"> . </w:t>
      </w:r>
    </w:p>
    <w:p w:rsidR="003F6A5A" w:rsidRPr="008A44A2" w:rsidRDefault="003F6A5A" w:rsidP="005B6AE2">
      <w:pPr>
        <w:spacing w:after="0" w:line="240" w:lineRule="auto"/>
        <w:jc w:val="both"/>
        <w:rPr>
          <w:rFonts w:ascii="Arial" w:hAnsi="Arial" w:cs="Arial"/>
          <w:sz w:val="24"/>
          <w:szCs w:val="24"/>
        </w:rPr>
      </w:pPr>
    </w:p>
    <w:p w:rsidR="008A44A2" w:rsidRDefault="00621B53" w:rsidP="005B6AE2">
      <w:pPr>
        <w:spacing w:after="0" w:line="240" w:lineRule="auto"/>
        <w:jc w:val="both"/>
        <w:rPr>
          <w:rStyle w:val="Hipervnculo"/>
          <w:rFonts w:ascii="Arial" w:hAnsi="Arial" w:cs="Arial"/>
          <w:sz w:val="24"/>
          <w:szCs w:val="24"/>
        </w:rPr>
      </w:pPr>
      <w:r>
        <w:rPr>
          <w:rFonts w:ascii="Arial" w:hAnsi="Arial" w:cs="Arial"/>
          <w:sz w:val="24"/>
          <w:szCs w:val="24"/>
        </w:rPr>
        <w:t>12</w:t>
      </w:r>
      <w:r w:rsidR="008A44A2" w:rsidRPr="008A44A2">
        <w:rPr>
          <w:rFonts w:ascii="Arial" w:hAnsi="Arial" w:cs="Arial"/>
          <w:sz w:val="24"/>
          <w:szCs w:val="24"/>
        </w:rPr>
        <w:t xml:space="preserve">- </w:t>
      </w:r>
      <w:proofErr w:type="spellStart"/>
      <w:r w:rsidR="008A44A2" w:rsidRPr="008A44A2">
        <w:rPr>
          <w:rFonts w:ascii="Arial" w:hAnsi="Arial" w:cs="Arial"/>
          <w:sz w:val="24"/>
          <w:szCs w:val="24"/>
        </w:rPr>
        <w:t>Manzaba</w:t>
      </w:r>
      <w:proofErr w:type="spellEnd"/>
      <w:r w:rsidR="008A44A2" w:rsidRPr="008A44A2">
        <w:rPr>
          <w:rFonts w:ascii="Arial" w:hAnsi="Arial" w:cs="Arial"/>
          <w:sz w:val="24"/>
          <w:szCs w:val="24"/>
        </w:rPr>
        <w:t xml:space="preserve"> Ávila DA. Calidad de vida de las mujeres en etapa de climaterio atendidas en el Centro de Salud Nueva San Rafael Tipo C [tesis]. Ecuador: Pontificia Universidad Católica del Ecuador, Sede Esmeraldas; 24 mayo 2017 [citado 5 mar. 2019]. Disponible en: </w:t>
      </w:r>
      <w:hyperlink r:id="rId12" w:history="1">
        <w:r w:rsidR="008A44A2" w:rsidRPr="008A44A2">
          <w:rPr>
            <w:rStyle w:val="Hipervnculo"/>
            <w:rFonts w:ascii="Arial" w:hAnsi="Arial" w:cs="Arial"/>
            <w:sz w:val="24"/>
            <w:szCs w:val="24"/>
          </w:rPr>
          <w:t>https://repositorio.pucese.edu.ec/bitstream/ 123456789/1326/1/MANZABA%20AVILA%20DANNY%20ARACELY.pdf</w:t>
        </w:r>
      </w:hyperlink>
      <w:bookmarkStart w:id="1" w:name="B6"/>
      <w:bookmarkEnd w:id="1"/>
    </w:p>
    <w:p w:rsidR="003F6A5A" w:rsidRPr="008A44A2" w:rsidRDefault="003F6A5A" w:rsidP="005B6AE2">
      <w:pPr>
        <w:spacing w:after="0" w:line="240" w:lineRule="auto"/>
        <w:jc w:val="both"/>
        <w:rPr>
          <w:rFonts w:ascii="Arial" w:hAnsi="Arial" w:cs="Arial"/>
          <w:sz w:val="24"/>
          <w:szCs w:val="24"/>
        </w:rPr>
      </w:pPr>
    </w:p>
    <w:p w:rsidR="00504760" w:rsidRDefault="00621B53" w:rsidP="005B6AE2">
      <w:pPr>
        <w:spacing w:line="240" w:lineRule="auto"/>
        <w:jc w:val="both"/>
        <w:rPr>
          <w:rStyle w:val="Hipervnculo"/>
          <w:rFonts w:ascii="Arial" w:hAnsi="Arial" w:cs="Arial"/>
          <w:sz w:val="24"/>
          <w:szCs w:val="24"/>
        </w:rPr>
      </w:pPr>
      <w:r>
        <w:rPr>
          <w:rFonts w:ascii="Arial" w:hAnsi="Arial" w:cs="Arial"/>
          <w:sz w:val="24"/>
          <w:szCs w:val="24"/>
        </w:rPr>
        <w:t>13</w:t>
      </w:r>
      <w:r w:rsidR="008A44A2" w:rsidRPr="008A44A2">
        <w:rPr>
          <w:rFonts w:ascii="Arial" w:hAnsi="Arial" w:cs="Arial"/>
          <w:sz w:val="24"/>
          <w:szCs w:val="24"/>
        </w:rPr>
        <w:t xml:space="preserve">- </w:t>
      </w:r>
      <w:proofErr w:type="spellStart"/>
      <w:r w:rsidR="008A44A2" w:rsidRPr="008A44A2">
        <w:rPr>
          <w:rFonts w:ascii="Arial" w:hAnsi="Arial" w:cs="Arial"/>
          <w:sz w:val="24"/>
          <w:szCs w:val="24"/>
        </w:rPr>
        <w:t>Cárdaba</w:t>
      </w:r>
      <w:proofErr w:type="spellEnd"/>
      <w:r w:rsidR="008A44A2" w:rsidRPr="008A44A2">
        <w:rPr>
          <w:rFonts w:ascii="Arial" w:hAnsi="Arial" w:cs="Arial"/>
          <w:sz w:val="24"/>
          <w:szCs w:val="24"/>
        </w:rPr>
        <w:t xml:space="preserve"> García RM, </w:t>
      </w:r>
      <w:proofErr w:type="spellStart"/>
      <w:r w:rsidR="008A44A2" w:rsidRPr="008A44A2">
        <w:rPr>
          <w:rFonts w:ascii="Arial" w:hAnsi="Arial" w:cs="Arial"/>
          <w:sz w:val="24"/>
          <w:szCs w:val="24"/>
        </w:rPr>
        <w:t>Cárdaba</w:t>
      </w:r>
      <w:proofErr w:type="spellEnd"/>
      <w:r w:rsidR="008A44A2" w:rsidRPr="008A44A2">
        <w:rPr>
          <w:rFonts w:ascii="Arial" w:hAnsi="Arial" w:cs="Arial"/>
          <w:sz w:val="24"/>
          <w:szCs w:val="24"/>
        </w:rPr>
        <w:t xml:space="preserve"> García I. Concepción sociocultural del climaterio en Occidente. Cultura de los Cuidados (Edición digital) [internet]. 2017 [citado 5 mar. 2019]</w:t>
      </w:r>
      <w:proofErr w:type="gramStart"/>
      <w:r w:rsidR="008A44A2" w:rsidRPr="008A44A2">
        <w:rPr>
          <w:rFonts w:ascii="Arial" w:hAnsi="Arial" w:cs="Arial"/>
          <w:sz w:val="24"/>
          <w:szCs w:val="24"/>
        </w:rPr>
        <w:t>;21</w:t>
      </w:r>
      <w:proofErr w:type="gramEnd"/>
      <w:r w:rsidR="008A44A2" w:rsidRPr="008A44A2">
        <w:rPr>
          <w:rFonts w:ascii="Arial" w:hAnsi="Arial" w:cs="Arial"/>
          <w:sz w:val="24"/>
          <w:szCs w:val="24"/>
        </w:rPr>
        <w:t xml:space="preserve">(49):[aprox. 7 p.]. Disponible en: </w:t>
      </w:r>
      <w:hyperlink r:id="rId13" w:history="1">
        <w:r w:rsidR="008A44A2" w:rsidRPr="008A44A2">
          <w:rPr>
            <w:rStyle w:val="Hipervnculo"/>
            <w:rFonts w:ascii="Arial" w:hAnsi="Arial" w:cs="Arial"/>
            <w:sz w:val="24"/>
            <w:szCs w:val="24"/>
          </w:rPr>
          <w:t>https://rua.ua.es/dspace/bitstream /10045/72936/1/CultCuid_49_12.pdf</w:t>
        </w:r>
      </w:hyperlink>
    </w:p>
    <w:p w:rsidR="008A44A2" w:rsidRPr="008A44A2" w:rsidRDefault="008A44A2" w:rsidP="005B6AE2">
      <w:pPr>
        <w:spacing w:line="240" w:lineRule="auto"/>
        <w:jc w:val="both"/>
        <w:rPr>
          <w:rStyle w:val="Hipervnculo"/>
          <w:rFonts w:ascii="Arial" w:hAnsi="Arial" w:cs="Arial"/>
          <w:sz w:val="24"/>
          <w:szCs w:val="24"/>
        </w:rPr>
      </w:pPr>
    </w:p>
    <w:p w:rsidR="008A44A2" w:rsidRDefault="00621B53" w:rsidP="005B6AE2">
      <w:pPr>
        <w:autoSpaceDE w:val="0"/>
        <w:autoSpaceDN w:val="0"/>
        <w:adjustRightInd w:val="0"/>
        <w:spacing w:after="0" w:line="240" w:lineRule="auto"/>
        <w:jc w:val="both"/>
        <w:rPr>
          <w:rFonts w:ascii="Arial" w:hAnsi="Arial" w:cs="Arial"/>
          <w:sz w:val="24"/>
          <w:szCs w:val="24"/>
          <w:lang w:val="es-MX"/>
        </w:rPr>
      </w:pPr>
      <w:r>
        <w:rPr>
          <w:rFonts w:ascii="Arial" w:hAnsi="Arial" w:cs="Arial"/>
          <w:sz w:val="24"/>
          <w:szCs w:val="24"/>
        </w:rPr>
        <w:t>14</w:t>
      </w:r>
      <w:r w:rsidR="008A44A2" w:rsidRPr="008A44A2">
        <w:rPr>
          <w:rFonts w:ascii="Arial" w:hAnsi="Arial" w:cs="Arial"/>
          <w:sz w:val="24"/>
          <w:szCs w:val="24"/>
        </w:rPr>
        <w:t xml:space="preserve">- Heras Córdova MM, </w:t>
      </w:r>
      <w:proofErr w:type="spellStart"/>
      <w:r w:rsidR="008A44A2" w:rsidRPr="008A44A2">
        <w:rPr>
          <w:rFonts w:ascii="Arial" w:hAnsi="Arial" w:cs="Arial"/>
          <w:sz w:val="24"/>
          <w:szCs w:val="24"/>
        </w:rPr>
        <w:t>RecaldeAyona</w:t>
      </w:r>
      <w:proofErr w:type="spellEnd"/>
      <w:r w:rsidR="008A44A2" w:rsidRPr="008A44A2">
        <w:rPr>
          <w:rFonts w:ascii="Arial" w:hAnsi="Arial" w:cs="Arial"/>
          <w:sz w:val="24"/>
          <w:szCs w:val="24"/>
        </w:rPr>
        <w:t xml:space="preserve"> AV, Rodríguez Vargas AR, </w:t>
      </w:r>
      <w:proofErr w:type="spellStart"/>
      <w:r w:rsidR="008A44A2" w:rsidRPr="008A44A2">
        <w:rPr>
          <w:rFonts w:ascii="Arial" w:hAnsi="Arial" w:cs="Arial"/>
          <w:sz w:val="24"/>
          <w:szCs w:val="24"/>
        </w:rPr>
        <w:t>BoneLajones</w:t>
      </w:r>
      <w:proofErr w:type="spellEnd"/>
      <w:r w:rsidR="008A44A2" w:rsidRPr="008A44A2">
        <w:rPr>
          <w:rFonts w:ascii="Arial" w:hAnsi="Arial" w:cs="Arial"/>
          <w:sz w:val="24"/>
          <w:szCs w:val="24"/>
        </w:rPr>
        <w:t xml:space="preserve"> LI, Álava Magallanes GD, De la Cruz Bermeo L. Menopausia y actividad física: Manual para la atención físico-educativa. </w:t>
      </w:r>
      <w:proofErr w:type="spellStart"/>
      <w:r w:rsidR="008A44A2" w:rsidRPr="008A44A2">
        <w:rPr>
          <w:rFonts w:ascii="Arial" w:hAnsi="Arial" w:cs="Arial"/>
          <w:sz w:val="24"/>
          <w:szCs w:val="24"/>
          <w:lang w:val="es-MX"/>
        </w:rPr>
        <w:t>Rev</w:t>
      </w:r>
      <w:proofErr w:type="spellEnd"/>
      <w:r w:rsidR="008A44A2" w:rsidRPr="008A44A2">
        <w:rPr>
          <w:rFonts w:ascii="Arial" w:hAnsi="Arial" w:cs="Arial"/>
          <w:sz w:val="24"/>
          <w:szCs w:val="24"/>
          <w:lang w:val="es-MX"/>
        </w:rPr>
        <w:t xml:space="preserve"> Cubana </w:t>
      </w:r>
      <w:proofErr w:type="spellStart"/>
      <w:r w:rsidR="008A44A2" w:rsidRPr="008A44A2">
        <w:rPr>
          <w:rFonts w:ascii="Arial" w:hAnsi="Arial" w:cs="Arial"/>
          <w:sz w:val="24"/>
          <w:szCs w:val="24"/>
          <w:lang w:val="es-MX"/>
        </w:rPr>
        <w:t>InvestBioméd</w:t>
      </w:r>
      <w:proofErr w:type="spellEnd"/>
      <w:r w:rsidR="008A44A2" w:rsidRPr="008A44A2">
        <w:rPr>
          <w:rFonts w:ascii="Arial" w:hAnsi="Arial" w:cs="Arial"/>
          <w:sz w:val="24"/>
          <w:szCs w:val="24"/>
          <w:lang w:val="es-MX"/>
        </w:rPr>
        <w:t>. 2017;36(2).</w:t>
      </w:r>
    </w:p>
    <w:p w:rsidR="003F6A5A" w:rsidRPr="008A44A2" w:rsidRDefault="003F6A5A" w:rsidP="005B6AE2">
      <w:pPr>
        <w:autoSpaceDE w:val="0"/>
        <w:autoSpaceDN w:val="0"/>
        <w:adjustRightInd w:val="0"/>
        <w:spacing w:after="0" w:line="240" w:lineRule="auto"/>
        <w:jc w:val="both"/>
        <w:rPr>
          <w:rFonts w:ascii="Arial" w:hAnsi="Arial" w:cs="Arial"/>
          <w:sz w:val="24"/>
          <w:szCs w:val="24"/>
          <w:lang w:val="es-MX"/>
        </w:rPr>
      </w:pPr>
    </w:p>
    <w:p w:rsidR="008A44A2" w:rsidRDefault="00621B53" w:rsidP="005B6AE2">
      <w:pPr>
        <w:spacing w:after="0" w:line="240" w:lineRule="auto"/>
        <w:jc w:val="both"/>
        <w:rPr>
          <w:rFonts w:ascii="Arial" w:hAnsi="Arial" w:cs="Arial"/>
          <w:sz w:val="24"/>
          <w:szCs w:val="24"/>
        </w:rPr>
      </w:pPr>
      <w:r>
        <w:rPr>
          <w:rFonts w:ascii="Arial" w:hAnsi="Arial" w:cs="Arial"/>
          <w:sz w:val="24"/>
          <w:szCs w:val="24"/>
          <w:lang w:val="es-MX"/>
        </w:rPr>
        <w:t>15</w:t>
      </w:r>
      <w:r w:rsidR="008A44A2" w:rsidRPr="000D2864">
        <w:rPr>
          <w:rFonts w:ascii="Arial" w:hAnsi="Arial" w:cs="Arial"/>
          <w:sz w:val="24"/>
          <w:szCs w:val="24"/>
        </w:rPr>
        <w:t xml:space="preserve">- Díaz </w:t>
      </w:r>
      <w:proofErr w:type="spellStart"/>
      <w:r w:rsidR="008A44A2" w:rsidRPr="000D2864">
        <w:rPr>
          <w:rFonts w:ascii="Arial" w:hAnsi="Arial" w:cs="Arial"/>
          <w:sz w:val="24"/>
          <w:szCs w:val="24"/>
        </w:rPr>
        <w:t>Díaz</w:t>
      </w:r>
      <w:proofErr w:type="spellEnd"/>
      <w:r w:rsidR="008A44A2" w:rsidRPr="000D2864">
        <w:rPr>
          <w:rFonts w:ascii="Arial" w:hAnsi="Arial" w:cs="Arial"/>
          <w:sz w:val="24"/>
          <w:szCs w:val="24"/>
        </w:rPr>
        <w:t xml:space="preserve"> O, </w:t>
      </w:r>
      <w:proofErr w:type="spellStart"/>
      <w:r w:rsidR="008A44A2" w:rsidRPr="000D2864">
        <w:rPr>
          <w:rFonts w:ascii="Arial" w:hAnsi="Arial" w:cs="Arial"/>
          <w:sz w:val="24"/>
          <w:szCs w:val="24"/>
        </w:rPr>
        <w:t>Orlandi</w:t>
      </w:r>
      <w:proofErr w:type="spellEnd"/>
      <w:r w:rsidR="008A44A2" w:rsidRPr="000D2864">
        <w:rPr>
          <w:rFonts w:ascii="Arial" w:hAnsi="Arial" w:cs="Arial"/>
          <w:sz w:val="24"/>
          <w:szCs w:val="24"/>
        </w:rPr>
        <w:t xml:space="preserve"> González N. Manual para el diagnóstico y tratamiento del paciente diabético a Nivel Primario de Salud. </w:t>
      </w:r>
      <w:r w:rsidR="008A44A2" w:rsidRPr="003939ED">
        <w:rPr>
          <w:rFonts w:ascii="Arial" w:hAnsi="Arial" w:cs="Arial"/>
          <w:sz w:val="24"/>
          <w:szCs w:val="24"/>
        </w:rPr>
        <w:t xml:space="preserve">Climaterio en la mujer con diabetes. La Habana: Editorial Ciencias Médicas; 2016. p. 1-13. </w:t>
      </w:r>
    </w:p>
    <w:p w:rsidR="003F6A5A" w:rsidRDefault="003F6A5A" w:rsidP="005B6AE2">
      <w:pPr>
        <w:spacing w:after="0" w:line="240" w:lineRule="auto"/>
        <w:jc w:val="both"/>
        <w:rPr>
          <w:rFonts w:ascii="Arial" w:hAnsi="Arial" w:cs="Arial"/>
          <w:sz w:val="24"/>
          <w:szCs w:val="24"/>
        </w:rPr>
      </w:pPr>
    </w:p>
    <w:p w:rsidR="008A44A2" w:rsidRPr="008A44A2" w:rsidRDefault="00621B53" w:rsidP="005B6AE2">
      <w:pPr>
        <w:spacing w:after="0" w:line="240" w:lineRule="auto"/>
        <w:jc w:val="both"/>
        <w:rPr>
          <w:rFonts w:ascii="Arial" w:hAnsi="Arial" w:cs="Arial"/>
          <w:sz w:val="24"/>
          <w:szCs w:val="24"/>
          <w:lang w:val="en-US"/>
        </w:rPr>
      </w:pPr>
      <w:r>
        <w:rPr>
          <w:rFonts w:ascii="Arial" w:hAnsi="Arial" w:cs="Arial"/>
          <w:sz w:val="24"/>
          <w:szCs w:val="24"/>
        </w:rPr>
        <w:t>16</w:t>
      </w:r>
      <w:r w:rsidR="008A44A2" w:rsidRPr="000D2864">
        <w:rPr>
          <w:rFonts w:ascii="Arial" w:hAnsi="Arial" w:cs="Arial"/>
          <w:sz w:val="24"/>
          <w:szCs w:val="24"/>
        </w:rPr>
        <w:t xml:space="preserve">- Lopera-Valle JS, Parada-Pérez AM, Martínez-Sánchez LM, Jaramillo -Jaramillo LI, Rojas-Jiménez S. Calidad de vida en la menopausia, un reto en la práctica clínica. </w:t>
      </w:r>
      <w:proofErr w:type="spellStart"/>
      <w:r w:rsidR="008A44A2" w:rsidRPr="000D2864">
        <w:rPr>
          <w:rFonts w:ascii="Arial" w:hAnsi="Arial" w:cs="Arial"/>
          <w:sz w:val="24"/>
          <w:szCs w:val="24"/>
        </w:rPr>
        <w:t>Rev</w:t>
      </w:r>
      <w:proofErr w:type="spellEnd"/>
      <w:r w:rsidR="008A44A2" w:rsidRPr="000D2864">
        <w:rPr>
          <w:rFonts w:ascii="Arial" w:hAnsi="Arial" w:cs="Arial"/>
          <w:sz w:val="24"/>
          <w:szCs w:val="24"/>
        </w:rPr>
        <w:t xml:space="preserve"> Cubana </w:t>
      </w:r>
      <w:proofErr w:type="spellStart"/>
      <w:r w:rsidR="008A44A2" w:rsidRPr="000D2864">
        <w:rPr>
          <w:rFonts w:ascii="Arial" w:hAnsi="Arial" w:cs="Arial"/>
          <w:sz w:val="24"/>
          <w:szCs w:val="24"/>
        </w:rPr>
        <w:t>Med</w:t>
      </w:r>
      <w:proofErr w:type="spellEnd"/>
      <w:r w:rsidR="008A44A2" w:rsidRPr="000D2864">
        <w:rPr>
          <w:rFonts w:ascii="Arial" w:hAnsi="Arial" w:cs="Arial"/>
          <w:sz w:val="24"/>
          <w:szCs w:val="24"/>
        </w:rPr>
        <w:t xml:space="preserve"> Gen Integr [internet]. </w:t>
      </w:r>
      <w:proofErr w:type="gramStart"/>
      <w:r w:rsidR="008A44A2" w:rsidRPr="000D2864">
        <w:rPr>
          <w:rFonts w:ascii="Arial" w:hAnsi="Arial" w:cs="Arial"/>
          <w:sz w:val="24"/>
          <w:szCs w:val="24"/>
        </w:rPr>
        <w:t>jul.-sep</w:t>
      </w:r>
      <w:proofErr w:type="gramEnd"/>
      <w:r w:rsidR="008A44A2" w:rsidRPr="000D2864">
        <w:rPr>
          <w:rFonts w:ascii="Arial" w:hAnsi="Arial" w:cs="Arial"/>
          <w:sz w:val="24"/>
          <w:szCs w:val="24"/>
        </w:rPr>
        <w:t xml:space="preserve">. 2016 [citado 5 </w:t>
      </w:r>
      <w:r w:rsidR="008A44A2">
        <w:rPr>
          <w:rFonts w:ascii="Arial" w:hAnsi="Arial" w:cs="Arial"/>
          <w:sz w:val="24"/>
          <w:szCs w:val="24"/>
        </w:rPr>
        <w:t>mar. 2019</w:t>
      </w:r>
      <w:r w:rsidR="008A44A2" w:rsidRPr="000D2864">
        <w:rPr>
          <w:rFonts w:ascii="Arial" w:hAnsi="Arial" w:cs="Arial"/>
          <w:sz w:val="24"/>
          <w:szCs w:val="24"/>
        </w:rPr>
        <w:t xml:space="preserve">];32(3):[aprox. </w:t>
      </w:r>
      <w:r w:rsidR="008A44A2" w:rsidRPr="008A44A2">
        <w:rPr>
          <w:rFonts w:ascii="Arial" w:hAnsi="Arial" w:cs="Arial"/>
          <w:sz w:val="24"/>
          <w:szCs w:val="24"/>
          <w:lang w:val="en-US"/>
        </w:rPr>
        <w:t xml:space="preserve">7 p.]. </w:t>
      </w:r>
      <w:proofErr w:type="spellStart"/>
      <w:r w:rsidR="008A44A2" w:rsidRPr="008A44A2">
        <w:rPr>
          <w:rFonts w:ascii="Arial" w:hAnsi="Arial" w:cs="Arial"/>
          <w:sz w:val="24"/>
          <w:szCs w:val="24"/>
          <w:lang w:val="en-US"/>
        </w:rPr>
        <w:t>Disponible</w:t>
      </w:r>
      <w:proofErr w:type="spellEnd"/>
      <w:r w:rsidR="008A44A2" w:rsidRPr="008A44A2">
        <w:rPr>
          <w:rFonts w:ascii="Arial" w:hAnsi="Arial" w:cs="Arial"/>
          <w:sz w:val="24"/>
          <w:szCs w:val="24"/>
          <w:lang w:val="en-US"/>
        </w:rPr>
        <w:t xml:space="preserve"> en: </w:t>
      </w:r>
      <w:hyperlink r:id="rId14" w:history="1">
        <w:r w:rsidR="008A44A2" w:rsidRPr="008A44A2">
          <w:rPr>
            <w:rStyle w:val="Hipervnculo"/>
            <w:rFonts w:ascii="Arial" w:hAnsi="Arial" w:cs="Arial"/>
            <w:sz w:val="24"/>
            <w:szCs w:val="24"/>
            <w:lang w:val="en-US"/>
          </w:rPr>
          <w:t xml:space="preserve">http://scielo.sld.cu/scielo.php?script= </w:t>
        </w:r>
        <w:proofErr w:type="spellStart"/>
        <w:r w:rsidR="008A44A2" w:rsidRPr="008A44A2">
          <w:rPr>
            <w:rStyle w:val="Hipervnculo"/>
            <w:rFonts w:ascii="Arial" w:hAnsi="Arial" w:cs="Arial"/>
            <w:sz w:val="24"/>
            <w:szCs w:val="24"/>
            <w:lang w:val="en-US"/>
          </w:rPr>
          <w:t>sci_arttext&amp;pid</w:t>
        </w:r>
        <w:proofErr w:type="spellEnd"/>
        <w:r w:rsidR="008A44A2" w:rsidRPr="008A44A2">
          <w:rPr>
            <w:rStyle w:val="Hipervnculo"/>
            <w:rFonts w:ascii="Arial" w:hAnsi="Arial" w:cs="Arial"/>
            <w:sz w:val="24"/>
            <w:szCs w:val="24"/>
            <w:lang w:val="en-US"/>
          </w:rPr>
          <w:t>=S0864-21252016000300010</w:t>
        </w:r>
      </w:hyperlink>
    </w:p>
    <w:p w:rsidR="008A44A2" w:rsidRPr="008A44A2" w:rsidRDefault="008A44A2" w:rsidP="005B6AE2">
      <w:pPr>
        <w:autoSpaceDE w:val="0"/>
        <w:autoSpaceDN w:val="0"/>
        <w:adjustRightInd w:val="0"/>
        <w:spacing w:after="0" w:line="240" w:lineRule="auto"/>
        <w:jc w:val="both"/>
        <w:rPr>
          <w:rFonts w:ascii="Arial" w:hAnsi="Arial" w:cs="Arial"/>
          <w:sz w:val="24"/>
          <w:szCs w:val="24"/>
          <w:lang w:val="en-US"/>
        </w:rPr>
      </w:pPr>
    </w:p>
    <w:p w:rsidR="008A44A2" w:rsidRDefault="00621B53" w:rsidP="005B6AE2">
      <w:pPr>
        <w:spacing w:after="0" w:line="240" w:lineRule="auto"/>
        <w:jc w:val="both"/>
        <w:rPr>
          <w:rFonts w:ascii="Arial" w:hAnsi="Arial" w:cs="Arial"/>
          <w:sz w:val="24"/>
          <w:szCs w:val="24"/>
          <w:lang w:val="en-US"/>
        </w:rPr>
      </w:pPr>
      <w:r>
        <w:rPr>
          <w:rFonts w:ascii="Arial" w:hAnsi="Arial" w:cs="Arial"/>
          <w:sz w:val="24"/>
          <w:szCs w:val="24"/>
          <w:lang w:val="en-US"/>
        </w:rPr>
        <w:t>17</w:t>
      </w:r>
      <w:r w:rsidR="008A44A2" w:rsidRPr="007F3604">
        <w:rPr>
          <w:rFonts w:ascii="Arial" w:hAnsi="Arial" w:cs="Arial"/>
          <w:sz w:val="24"/>
          <w:szCs w:val="24"/>
          <w:lang w:val="en-US"/>
        </w:rPr>
        <w:t xml:space="preserve">- </w:t>
      </w:r>
      <w:proofErr w:type="spellStart"/>
      <w:r w:rsidR="008A44A2" w:rsidRPr="007F3604">
        <w:rPr>
          <w:rFonts w:ascii="Arial" w:hAnsi="Arial" w:cs="Arial"/>
          <w:sz w:val="24"/>
          <w:szCs w:val="24"/>
          <w:lang w:val="en-US"/>
        </w:rPr>
        <w:t>Triebner</w:t>
      </w:r>
      <w:proofErr w:type="spellEnd"/>
      <w:r w:rsidR="008A44A2" w:rsidRPr="007F3604">
        <w:rPr>
          <w:rFonts w:ascii="Arial" w:hAnsi="Arial" w:cs="Arial"/>
          <w:sz w:val="24"/>
          <w:szCs w:val="24"/>
          <w:lang w:val="en-US"/>
        </w:rPr>
        <w:t xml:space="preserve"> K, </w:t>
      </w:r>
      <w:proofErr w:type="spellStart"/>
      <w:r w:rsidR="008A44A2" w:rsidRPr="007F3604">
        <w:rPr>
          <w:rFonts w:ascii="Arial" w:hAnsi="Arial" w:cs="Arial"/>
          <w:sz w:val="24"/>
          <w:szCs w:val="24"/>
          <w:lang w:val="en-US"/>
        </w:rPr>
        <w:t>Johannessen</w:t>
      </w:r>
      <w:proofErr w:type="spellEnd"/>
      <w:r w:rsidR="008A44A2" w:rsidRPr="007F3604">
        <w:rPr>
          <w:rFonts w:ascii="Arial" w:hAnsi="Arial" w:cs="Arial"/>
          <w:sz w:val="24"/>
          <w:szCs w:val="24"/>
          <w:lang w:val="en-US"/>
        </w:rPr>
        <w:t xml:space="preserve"> A, </w:t>
      </w:r>
      <w:proofErr w:type="spellStart"/>
      <w:r w:rsidR="008A44A2" w:rsidRPr="007F3604">
        <w:rPr>
          <w:rFonts w:ascii="Arial" w:hAnsi="Arial" w:cs="Arial"/>
          <w:sz w:val="24"/>
          <w:szCs w:val="24"/>
          <w:lang w:val="en-US"/>
        </w:rPr>
        <w:t>Puggini</w:t>
      </w:r>
      <w:proofErr w:type="spellEnd"/>
      <w:r w:rsidR="008A44A2" w:rsidRPr="007F3604">
        <w:rPr>
          <w:rFonts w:ascii="Arial" w:hAnsi="Arial" w:cs="Arial"/>
          <w:sz w:val="24"/>
          <w:szCs w:val="24"/>
          <w:lang w:val="en-US"/>
        </w:rPr>
        <w:t xml:space="preserve"> L, </w:t>
      </w:r>
      <w:proofErr w:type="spellStart"/>
      <w:r w:rsidR="008A44A2" w:rsidRPr="007F3604">
        <w:rPr>
          <w:rFonts w:ascii="Arial" w:hAnsi="Arial" w:cs="Arial"/>
          <w:sz w:val="24"/>
          <w:szCs w:val="24"/>
          <w:lang w:val="en-US"/>
        </w:rPr>
        <w:t>Benediktsdottir</w:t>
      </w:r>
      <w:proofErr w:type="spellEnd"/>
      <w:r w:rsidR="008A44A2" w:rsidRPr="007F3604">
        <w:rPr>
          <w:rFonts w:ascii="Arial" w:hAnsi="Arial" w:cs="Arial"/>
          <w:sz w:val="24"/>
          <w:szCs w:val="24"/>
          <w:lang w:val="en-US"/>
        </w:rPr>
        <w:t xml:space="preserve"> B, </w:t>
      </w:r>
      <w:proofErr w:type="spellStart"/>
      <w:r w:rsidR="008A44A2" w:rsidRPr="007F3604">
        <w:rPr>
          <w:rFonts w:ascii="Arial" w:hAnsi="Arial" w:cs="Arial"/>
          <w:sz w:val="24"/>
          <w:szCs w:val="24"/>
          <w:lang w:val="en-US"/>
        </w:rPr>
        <w:t>Bertelsen</w:t>
      </w:r>
      <w:proofErr w:type="spellEnd"/>
      <w:r w:rsidR="008A44A2" w:rsidRPr="007F3604">
        <w:rPr>
          <w:rFonts w:ascii="Arial" w:hAnsi="Arial" w:cs="Arial"/>
          <w:sz w:val="24"/>
          <w:szCs w:val="24"/>
          <w:lang w:val="en-US"/>
        </w:rPr>
        <w:t xml:space="preserve"> R, </w:t>
      </w:r>
      <w:proofErr w:type="spellStart"/>
      <w:proofErr w:type="gramStart"/>
      <w:r w:rsidR="008A44A2" w:rsidRPr="007F3604">
        <w:rPr>
          <w:rFonts w:ascii="Arial" w:hAnsi="Arial" w:cs="Arial"/>
          <w:sz w:val="24"/>
          <w:szCs w:val="24"/>
          <w:lang w:val="en-US"/>
        </w:rPr>
        <w:t>Bifulco</w:t>
      </w:r>
      <w:proofErr w:type="spellEnd"/>
      <w:proofErr w:type="gramEnd"/>
      <w:r w:rsidR="008A44A2" w:rsidRPr="007F3604">
        <w:rPr>
          <w:rFonts w:ascii="Arial" w:hAnsi="Arial" w:cs="Arial"/>
          <w:sz w:val="24"/>
          <w:szCs w:val="24"/>
          <w:lang w:val="en-US"/>
        </w:rPr>
        <w:t xml:space="preserve"> E, et al. </w:t>
      </w:r>
      <w:r w:rsidR="008A44A2" w:rsidRPr="000D2864">
        <w:rPr>
          <w:rFonts w:ascii="Arial" w:hAnsi="Arial" w:cs="Arial"/>
          <w:sz w:val="24"/>
          <w:szCs w:val="24"/>
          <w:lang w:val="en-US"/>
        </w:rPr>
        <w:t>Menopause as a predictor of new-onset asthma: A longitudinal Northern European population</w:t>
      </w:r>
      <w:r w:rsidR="008A44A2">
        <w:rPr>
          <w:rFonts w:ascii="Arial" w:hAnsi="Arial" w:cs="Arial"/>
          <w:sz w:val="24"/>
          <w:szCs w:val="24"/>
          <w:lang w:val="en-US"/>
        </w:rPr>
        <w:t xml:space="preserve"> study. J. Allergy </w:t>
      </w:r>
      <w:proofErr w:type="spellStart"/>
      <w:r w:rsidR="008A44A2">
        <w:rPr>
          <w:rFonts w:ascii="Arial" w:hAnsi="Arial" w:cs="Arial"/>
          <w:sz w:val="24"/>
          <w:szCs w:val="24"/>
          <w:lang w:val="en-US"/>
        </w:rPr>
        <w:t>Clin</w:t>
      </w:r>
      <w:proofErr w:type="spellEnd"/>
      <w:r w:rsidR="008A44A2">
        <w:rPr>
          <w:rFonts w:ascii="Arial" w:hAnsi="Arial" w:cs="Arial"/>
          <w:sz w:val="24"/>
          <w:szCs w:val="24"/>
          <w:lang w:val="en-US"/>
        </w:rPr>
        <w:t>. Immun.</w:t>
      </w:r>
      <w:r w:rsidR="008A44A2" w:rsidRPr="000D2864">
        <w:rPr>
          <w:rFonts w:ascii="Arial" w:hAnsi="Arial" w:cs="Arial"/>
          <w:sz w:val="24"/>
          <w:szCs w:val="24"/>
          <w:lang w:val="en-US"/>
        </w:rPr>
        <w:t xml:space="preserve"> 2016;137(1):50-57. </w:t>
      </w:r>
      <w:bookmarkStart w:id="2" w:name="B11"/>
      <w:bookmarkEnd w:id="2"/>
    </w:p>
    <w:p w:rsidR="00621B53" w:rsidRDefault="00621B53" w:rsidP="005B6AE2">
      <w:pPr>
        <w:spacing w:after="0" w:line="240" w:lineRule="auto"/>
        <w:jc w:val="both"/>
        <w:rPr>
          <w:rFonts w:ascii="Arial" w:hAnsi="Arial" w:cs="Arial"/>
          <w:sz w:val="24"/>
          <w:szCs w:val="24"/>
          <w:lang w:val="en-US"/>
        </w:rPr>
      </w:pPr>
    </w:p>
    <w:p w:rsidR="008A44A2" w:rsidRPr="00BD6FB2" w:rsidRDefault="00621B53" w:rsidP="005B6AE2">
      <w:pPr>
        <w:autoSpaceDE w:val="0"/>
        <w:autoSpaceDN w:val="0"/>
        <w:adjustRightInd w:val="0"/>
        <w:spacing w:after="0" w:line="240" w:lineRule="auto"/>
        <w:jc w:val="both"/>
        <w:rPr>
          <w:rFonts w:ascii="Arial" w:eastAsia="Times New Roman" w:hAnsi="Arial" w:cs="Arial"/>
          <w:sz w:val="24"/>
          <w:szCs w:val="24"/>
          <w:u w:val="single"/>
        </w:rPr>
      </w:pPr>
      <w:r>
        <w:rPr>
          <w:rFonts w:ascii="Arial" w:eastAsia="MyriadPro-Light" w:hAnsi="Arial" w:cs="Arial"/>
          <w:sz w:val="24"/>
          <w:szCs w:val="24"/>
          <w:lang w:val="en-US"/>
        </w:rPr>
        <w:t>18</w:t>
      </w:r>
      <w:r w:rsidR="008A44A2" w:rsidRPr="007F33A9">
        <w:rPr>
          <w:rFonts w:ascii="Arial" w:eastAsia="MyriadPro-Light" w:hAnsi="Arial" w:cs="Arial"/>
          <w:sz w:val="24"/>
          <w:szCs w:val="24"/>
          <w:lang w:val="en-US"/>
        </w:rPr>
        <w:t xml:space="preserve">- </w:t>
      </w:r>
      <w:proofErr w:type="spellStart"/>
      <w:r w:rsidR="008A44A2" w:rsidRPr="007F33A9">
        <w:rPr>
          <w:rFonts w:ascii="Arial" w:eastAsia="Times New Roman" w:hAnsi="Arial" w:cs="Arial"/>
          <w:sz w:val="24"/>
          <w:szCs w:val="24"/>
          <w:lang w:val="en-US"/>
        </w:rPr>
        <w:t>Formoso</w:t>
      </w:r>
      <w:proofErr w:type="spellEnd"/>
      <w:r w:rsidR="008A44A2" w:rsidRPr="007F33A9">
        <w:rPr>
          <w:rFonts w:ascii="Arial" w:eastAsia="Times New Roman" w:hAnsi="Arial" w:cs="Arial"/>
          <w:sz w:val="24"/>
          <w:szCs w:val="24"/>
          <w:lang w:val="en-US"/>
        </w:rPr>
        <w:t xml:space="preserve"> G, </w:t>
      </w:r>
      <w:proofErr w:type="spellStart"/>
      <w:r w:rsidR="008A44A2" w:rsidRPr="007F33A9">
        <w:rPr>
          <w:rFonts w:ascii="Arial" w:eastAsia="Times New Roman" w:hAnsi="Arial" w:cs="Arial"/>
          <w:sz w:val="24"/>
          <w:szCs w:val="24"/>
          <w:lang w:val="en-US"/>
        </w:rPr>
        <w:t>Perrone</w:t>
      </w:r>
      <w:proofErr w:type="spellEnd"/>
      <w:r w:rsidR="008A44A2" w:rsidRPr="007F33A9">
        <w:rPr>
          <w:rFonts w:ascii="Arial" w:eastAsia="Times New Roman" w:hAnsi="Arial" w:cs="Arial"/>
          <w:sz w:val="24"/>
          <w:szCs w:val="24"/>
          <w:lang w:val="en-US"/>
        </w:rPr>
        <w:t xml:space="preserve"> E, </w:t>
      </w:r>
      <w:proofErr w:type="spellStart"/>
      <w:r w:rsidR="008A44A2" w:rsidRPr="007F33A9">
        <w:rPr>
          <w:rFonts w:ascii="Arial" w:eastAsia="Times New Roman" w:hAnsi="Arial" w:cs="Arial"/>
          <w:sz w:val="24"/>
          <w:szCs w:val="24"/>
          <w:lang w:val="en-US"/>
        </w:rPr>
        <w:t>Maltoni</w:t>
      </w:r>
      <w:proofErr w:type="spellEnd"/>
      <w:r w:rsidR="008A44A2" w:rsidRPr="007F33A9">
        <w:rPr>
          <w:rFonts w:ascii="Arial" w:eastAsia="Times New Roman" w:hAnsi="Arial" w:cs="Arial"/>
          <w:sz w:val="24"/>
          <w:szCs w:val="24"/>
          <w:lang w:val="en-US"/>
        </w:rPr>
        <w:t xml:space="preserve"> S, </w:t>
      </w:r>
      <w:proofErr w:type="spellStart"/>
      <w:r w:rsidR="008A44A2" w:rsidRPr="007F33A9">
        <w:rPr>
          <w:rFonts w:ascii="Arial" w:eastAsia="Times New Roman" w:hAnsi="Arial" w:cs="Arial"/>
          <w:sz w:val="24"/>
          <w:szCs w:val="24"/>
          <w:lang w:val="en-US"/>
        </w:rPr>
        <w:t>Balduzzi</w:t>
      </w:r>
      <w:proofErr w:type="spellEnd"/>
      <w:r w:rsidR="008A44A2" w:rsidRPr="007F33A9">
        <w:rPr>
          <w:rFonts w:ascii="Arial" w:eastAsia="Times New Roman" w:hAnsi="Arial" w:cs="Arial"/>
          <w:sz w:val="24"/>
          <w:szCs w:val="24"/>
          <w:lang w:val="en-US"/>
        </w:rPr>
        <w:t xml:space="preserve"> S, Wilkinson J, </w:t>
      </w:r>
      <w:proofErr w:type="spellStart"/>
      <w:r w:rsidR="008A44A2" w:rsidRPr="007F33A9">
        <w:rPr>
          <w:rFonts w:ascii="Arial" w:eastAsia="Times New Roman" w:hAnsi="Arial" w:cs="Arial"/>
          <w:sz w:val="24"/>
          <w:szCs w:val="24"/>
          <w:lang w:val="en-US"/>
        </w:rPr>
        <w:t>Basevi</w:t>
      </w:r>
      <w:proofErr w:type="spellEnd"/>
      <w:r w:rsidR="008A44A2" w:rsidRPr="007F33A9">
        <w:rPr>
          <w:rFonts w:ascii="Arial" w:eastAsia="Times New Roman" w:hAnsi="Arial" w:cs="Arial"/>
          <w:sz w:val="24"/>
          <w:szCs w:val="24"/>
          <w:lang w:val="en-US"/>
        </w:rPr>
        <w:t xml:space="preserve"> V, et al. Short-term and long-term effects of </w:t>
      </w:r>
      <w:proofErr w:type="spellStart"/>
      <w:r w:rsidR="008A44A2" w:rsidRPr="007F33A9">
        <w:rPr>
          <w:rFonts w:ascii="Arial" w:eastAsia="Times New Roman" w:hAnsi="Arial" w:cs="Arial"/>
          <w:sz w:val="24"/>
          <w:szCs w:val="24"/>
          <w:lang w:val="en-US"/>
        </w:rPr>
        <w:t>tibolone</w:t>
      </w:r>
      <w:proofErr w:type="spellEnd"/>
      <w:r w:rsidR="008A44A2" w:rsidRPr="007F33A9">
        <w:rPr>
          <w:rFonts w:ascii="Arial" w:eastAsia="Times New Roman" w:hAnsi="Arial" w:cs="Arial"/>
          <w:sz w:val="24"/>
          <w:szCs w:val="24"/>
          <w:lang w:val="en-US"/>
        </w:rPr>
        <w:t xml:space="preserve"> in postmenopausal women. </w:t>
      </w:r>
      <w:r w:rsidR="008A44A2" w:rsidRPr="008A44A2">
        <w:rPr>
          <w:rFonts w:ascii="Arial" w:eastAsia="Times New Roman" w:hAnsi="Arial" w:cs="Arial"/>
          <w:sz w:val="24"/>
          <w:szCs w:val="24"/>
          <w:lang w:val="es-MX"/>
        </w:rPr>
        <w:t xml:space="preserve">Cochrane </w:t>
      </w:r>
      <w:proofErr w:type="spellStart"/>
      <w:r w:rsidR="008A44A2" w:rsidRPr="008A44A2">
        <w:rPr>
          <w:rFonts w:ascii="Arial" w:eastAsia="Times New Roman" w:hAnsi="Arial" w:cs="Arial"/>
          <w:sz w:val="24"/>
          <w:szCs w:val="24"/>
          <w:lang w:val="es-MX"/>
        </w:rPr>
        <w:t>DatabaseSyst</w:t>
      </w:r>
      <w:proofErr w:type="spellEnd"/>
      <w:r w:rsidR="008A44A2" w:rsidRPr="008A44A2">
        <w:rPr>
          <w:rFonts w:ascii="Arial" w:eastAsia="Times New Roman" w:hAnsi="Arial" w:cs="Arial"/>
          <w:sz w:val="24"/>
          <w:szCs w:val="24"/>
          <w:lang w:val="es-MX"/>
        </w:rPr>
        <w:t xml:space="preserve"> Rev. 2016; 10:CD008536. </w:t>
      </w:r>
      <w:proofErr w:type="spellStart"/>
      <w:r w:rsidR="008A44A2" w:rsidRPr="008A44A2">
        <w:rPr>
          <w:rFonts w:ascii="Arial" w:eastAsia="Times New Roman" w:hAnsi="Arial" w:cs="Arial"/>
          <w:sz w:val="24"/>
          <w:szCs w:val="24"/>
          <w:lang w:val="es-MX"/>
        </w:rPr>
        <w:t>PubMed</w:t>
      </w:r>
      <w:hyperlink r:id="rId15" w:history="1">
        <w:r w:rsidR="008A44A2" w:rsidRPr="008A44A2">
          <w:rPr>
            <w:rFonts w:ascii="Arial" w:eastAsia="Times New Roman" w:hAnsi="Arial" w:cs="Arial"/>
            <w:sz w:val="24"/>
            <w:szCs w:val="24"/>
            <w:u w:val="single"/>
            <w:lang w:val="es-MX"/>
          </w:rPr>
          <w:t>PMID</w:t>
        </w:r>
        <w:proofErr w:type="spellEnd"/>
        <w:r w:rsidR="008A44A2" w:rsidRPr="008A44A2">
          <w:rPr>
            <w:rFonts w:ascii="Arial" w:eastAsia="Times New Roman" w:hAnsi="Arial" w:cs="Arial"/>
            <w:sz w:val="24"/>
            <w:szCs w:val="24"/>
            <w:u w:val="single"/>
            <w:lang w:val="es-MX"/>
          </w:rPr>
          <w:t>: 27733017</w:t>
        </w:r>
      </w:hyperlink>
    </w:p>
    <w:p w:rsidR="003F6A5A" w:rsidRPr="008A44A2" w:rsidRDefault="003F6A5A" w:rsidP="005B6AE2">
      <w:pPr>
        <w:autoSpaceDE w:val="0"/>
        <w:autoSpaceDN w:val="0"/>
        <w:adjustRightInd w:val="0"/>
        <w:spacing w:after="0" w:line="240" w:lineRule="auto"/>
        <w:jc w:val="both"/>
        <w:rPr>
          <w:rFonts w:ascii="Arial" w:eastAsia="Times New Roman" w:hAnsi="Arial" w:cs="Arial"/>
          <w:sz w:val="24"/>
          <w:szCs w:val="24"/>
          <w:lang w:val="es-MX"/>
        </w:rPr>
      </w:pPr>
    </w:p>
    <w:p w:rsidR="008A44A2" w:rsidRDefault="00621B53" w:rsidP="005B6AE2">
      <w:pPr>
        <w:spacing w:after="0" w:line="240" w:lineRule="auto"/>
        <w:jc w:val="both"/>
        <w:rPr>
          <w:rFonts w:ascii="Arial" w:eastAsia="Times New Roman" w:hAnsi="Arial" w:cs="Arial"/>
          <w:sz w:val="24"/>
          <w:szCs w:val="24"/>
          <w:u w:val="single"/>
        </w:rPr>
      </w:pPr>
      <w:r>
        <w:rPr>
          <w:rFonts w:ascii="Arial" w:hAnsi="Arial" w:cs="Arial"/>
          <w:sz w:val="24"/>
          <w:szCs w:val="24"/>
          <w:lang w:val="es-MX"/>
        </w:rPr>
        <w:t>19</w:t>
      </w:r>
      <w:r w:rsidR="008A44A2" w:rsidRPr="00102765">
        <w:rPr>
          <w:rFonts w:ascii="Arial" w:hAnsi="Arial" w:cs="Arial"/>
          <w:sz w:val="24"/>
          <w:szCs w:val="24"/>
        </w:rPr>
        <w:t>-</w:t>
      </w:r>
      <w:r w:rsidR="008A44A2" w:rsidRPr="00102765">
        <w:rPr>
          <w:rFonts w:ascii="Arial" w:eastAsia="Times New Roman" w:hAnsi="Arial" w:cs="Arial"/>
          <w:sz w:val="24"/>
          <w:szCs w:val="24"/>
        </w:rPr>
        <w:t xml:space="preserve">López García-Franco A, Arribas Mir L, Bailón Muñoz E, </w:t>
      </w:r>
      <w:proofErr w:type="spellStart"/>
      <w:r w:rsidR="008A44A2" w:rsidRPr="00102765">
        <w:rPr>
          <w:rFonts w:ascii="Arial" w:eastAsia="Times New Roman" w:hAnsi="Arial" w:cs="Arial"/>
          <w:sz w:val="24"/>
          <w:szCs w:val="24"/>
        </w:rPr>
        <w:t>Baeyens</w:t>
      </w:r>
      <w:proofErr w:type="spellEnd"/>
      <w:r w:rsidR="008A44A2" w:rsidRPr="00102765">
        <w:rPr>
          <w:rFonts w:ascii="Arial" w:eastAsia="Times New Roman" w:hAnsi="Arial" w:cs="Arial"/>
          <w:sz w:val="24"/>
          <w:szCs w:val="24"/>
        </w:rPr>
        <w:t xml:space="preserve"> Fernández JA, Del Cura González I, Iglesias Piñeiro MJ, et al. Actividades preventivas en la mujer. Aten Primaria. 2016;48Supl 1:105-26</w:t>
      </w:r>
      <w:r w:rsidR="008A44A2" w:rsidRPr="003F46F7">
        <w:rPr>
          <w:rFonts w:ascii="Arial" w:eastAsia="Times New Roman" w:hAnsi="Arial" w:cs="Arial"/>
          <w:sz w:val="24"/>
          <w:szCs w:val="24"/>
        </w:rPr>
        <w:t xml:space="preserve">. </w:t>
      </w:r>
      <w:hyperlink r:id="rId16" w:history="1">
        <w:r w:rsidR="008A44A2" w:rsidRPr="003F46F7">
          <w:rPr>
            <w:rFonts w:ascii="Arial" w:eastAsia="Times New Roman" w:hAnsi="Arial" w:cs="Arial"/>
            <w:sz w:val="24"/>
            <w:szCs w:val="24"/>
            <w:u w:val="single"/>
          </w:rPr>
          <w:t>Texto completo</w:t>
        </w:r>
      </w:hyperlink>
    </w:p>
    <w:p w:rsidR="003F6A5A" w:rsidRPr="00102765" w:rsidRDefault="003F6A5A" w:rsidP="005B6AE2">
      <w:pPr>
        <w:spacing w:after="0" w:line="240" w:lineRule="auto"/>
        <w:jc w:val="both"/>
        <w:rPr>
          <w:rFonts w:ascii="Arial" w:eastAsia="Times New Roman" w:hAnsi="Arial" w:cs="Arial"/>
          <w:sz w:val="24"/>
          <w:szCs w:val="24"/>
        </w:rPr>
      </w:pPr>
    </w:p>
    <w:p w:rsidR="008A44A2" w:rsidRDefault="00621B53" w:rsidP="005B6AE2">
      <w:pPr>
        <w:spacing w:after="0" w:line="240" w:lineRule="auto"/>
        <w:jc w:val="both"/>
        <w:rPr>
          <w:rStyle w:val="Hipervnculo"/>
          <w:rFonts w:ascii="Arial" w:eastAsia="Times New Roman" w:hAnsi="Arial" w:cs="Arial"/>
          <w:sz w:val="24"/>
          <w:szCs w:val="24"/>
        </w:rPr>
      </w:pPr>
      <w:r>
        <w:rPr>
          <w:rFonts w:ascii="Arial" w:eastAsia="Times New Roman" w:hAnsi="Arial" w:cs="Arial"/>
          <w:sz w:val="24"/>
          <w:szCs w:val="24"/>
        </w:rPr>
        <w:t>20</w:t>
      </w:r>
      <w:r w:rsidR="008A44A2" w:rsidRPr="000D2864">
        <w:rPr>
          <w:rFonts w:ascii="Arial" w:eastAsia="Times New Roman" w:hAnsi="Arial" w:cs="Arial"/>
          <w:sz w:val="24"/>
          <w:szCs w:val="24"/>
        </w:rPr>
        <w:t xml:space="preserve">-Yabur A. La menopausia puesta al día. </w:t>
      </w:r>
      <w:proofErr w:type="spellStart"/>
      <w:r w:rsidR="008A44A2" w:rsidRPr="000D2864">
        <w:rPr>
          <w:rFonts w:ascii="Arial" w:eastAsia="Times New Roman" w:hAnsi="Arial" w:cs="Arial"/>
          <w:sz w:val="24"/>
          <w:szCs w:val="24"/>
        </w:rPr>
        <w:t>GacMéd</w:t>
      </w:r>
      <w:proofErr w:type="spellEnd"/>
      <w:r w:rsidR="008A44A2" w:rsidRPr="000D2864">
        <w:rPr>
          <w:rFonts w:ascii="Arial" w:eastAsia="Times New Roman" w:hAnsi="Arial" w:cs="Arial"/>
          <w:sz w:val="24"/>
          <w:szCs w:val="24"/>
        </w:rPr>
        <w:t xml:space="preserve"> Caracas. [en Internet]. 2016 marzo [Consultado: 10 de febrero de 2019]</w:t>
      </w:r>
      <w:proofErr w:type="gramStart"/>
      <w:r w:rsidR="008A44A2" w:rsidRPr="000D2864">
        <w:rPr>
          <w:rFonts w:ascii="Arial" w:eastAsia="Times New Roman" w:hAnsi="Arial" w:cs="Arial"/>
          <w:sz w:val="24"/>
          <w:szCs w:val="24"/>
        </w:rPr>
        <w:t>;114</w:t>
      </w:r>
      <w:proofErr w:type="gramEnd"/>
      <w:r w:rsidR="008A44A2" w:rsidRPr="000D2864">
        <w:rPr>
          <w:rFonts w:ascii="Arial" w:eastAsia="Times New Roman" w:hAnsi="Arial" w:cs="Arial"/>
          <w:sz w:val="24"/>
          <w:szCs w:val="24"/>
        </w:rPr>
        <w:t xml:space="preserve">(1):[aprox. 12 p.]. Disponible en: </w:t>
      </w:r>
      <w:hyperlink r:id="rId17" w:history="1">
        <w:r w:rsidR="008A44A2" w:rsidRPr="00973D67">
          <w:rPr>
            <w:rStyle w:val="Hipervnculo"/>
            <w:rFonts w:ascii="Arial" w:eastAsia="Times New Roman" w:hAnsi="Arial" w:cs="Arial"/>
            <w:sz w:val="24"/>
            <w:szCs w:val="24"/>
          </w:rPr>
          <w:t>http://www.scielo.org.ve/scielo.php?script=sci_arttext&amp;pid=S0367-476220 060001 00001&amp;lng=</w:t>
        </w:r>
        <w:proofErr w:type="spellStart"/>
        <w:r w:rsidR="008A44A2" w:rsidRPr="00973D67">
          <w:rPr>
            <w:rStyle w:val="Hipervnculo"/>
            <w:rFonts w:ascii="Arial" w:eastAsia="Times New Roman" w:hAnsi="Arial" w:cs="Arial"/>
            <w:sz w:val="24"/>
            <w:szCs w:val="24"/>
          </w:rPr>
          <w:t>es&amp;nrm</w:t>
        </w:r>
        <w:proofErr w:type="spellEnd"/>
        <w:r w:rsidR="008A44A2" w:rsidRPr="00973D67">
          <w:rPr>
            <w:rStyle w:val="Hipervnculo"/>
            <w:rFonts w:ascii="Arial" w:eastAsia="Times New Roman" w:hAnsi="Arial" w:cs="Arial"/>
            <w:sz w:val="24"/>
            <w:szCs w:val="24"/>
          </w:rPr>
          <w:t>=</w:t>
        </w:r>
        <w:proofErr w:type="spellStart"/>
        <w:r w:rsidR="008A44A2" w:rsidRPr="00973D67">
          <w:rPr>
            <w:rStyle w:val="Hipervnculo"/>
            <w:rFonts w:ascii="Arial" w:eastAsia="Times New Roman" w:hAnsi="Arial" w:cs="Arial"/>
            <w:sz w:val="24"/>
            <w:szCs w:val="24"/>
          </w:rPr>
          <w:t>iso</w:t>
        </w:r>
        <w:proofErr w:type="spellEnd"/>
      </w:hyperlink>
    </w:p>
    <w:p w:rsidR="003F6A5A" w:rsidRDefault="003F6A5A" w:rsidP="005B6AE2">
      <w:pPr>
        <w:spacing w:after="0" w:line="240" w:lineRule="auto"/>
        <w:jc w:val="both"/>
        <w:rPr>
          <w:rStyle w:val="Hipervnculo"/>
          <w:rFonts w:ascii="Arial" w:eastAsia="Times New Roman" w:hAnsi="Arial" w:cs="Arial"/>
          <w:sz w:val="24"/>
          <w:szCs w:val="24"/>
        </w:rPr>
      </w:pPr>
    </w:p>
    <w:p w:rsidR="008A44A2" w:rsidRPr="00BD6FB2" w:rsidRDefault="008A44A2" w:rsidP="005B6AE2">
      <w:pPr>
        <w:spacing w:line="240" w:lineRule="auto"/>
        <w:jc w:val="both"/>
        <w:rPr>
          <w:rFonts w:ascii="Arial" w:hAnsi="Arial" w:cs="Arial"/>
          <w:sz w:val="24"/>
          <w:szCs w:val="24"/>
        </w:rPr>
      </w:pPr>
    </w:p>
    <w:p w:rsidR="003F6A5A" w:rsidRPr="00BD6FB2" w:rsidRDefault="003F6A5A" w:rsidP="005B6AE2">
      <w:pPr>
        <w:spacing w:line="240" w:lineRule="auto"/>
        <w:jc w:val="both"/>
        <w:rPr>
          <w:rFonts w:ascii="Arial" w:hAnsi="Arial" w:cs="Arial"/>
          <w:sz w:val="24"/>
          <w:szCs w:val="24"/>
        </w:rPr>
      </w:pPr>
    </w:p>
    <w:p w:rsidR="00504760" w:rsidRPr="00BD6FB2" w:rsidRDefault="00504760" w:rsidP="005B6AE2">
      <w:pPr>
        <w:spacing w:line="240" w:lineRule="auto"/>
        <w:jc w:val="both"/>
        <w:rPr>
          <w:rFonts w:ascii="Arial" w:eastAsia="Times New Roman" w:hAnsi="Arial" w:cs="Arial"/>
          <w:sz w:val="24"/>
          <w:szCs w:val="24"/>
        </w:rPr>
      </w:pPr>
    </w:p>
    <w:p w:rsidR="005E5569" w:rsidRPr="00300B94" w:rsidRDefault="005E5569" w:rsidP="005B6AE2">
      <w:pPr>
        <w:spacing w:line="240" w:lineRule="auto"/>
        <w:jc w:val="both"/>
        <w:rPr>
          <w:rFonts w:ascii="Arial" w:hAnsi="Arial" w:cs="Arial"/>
          <w:sz w:val="24"/>
          <w:szCs w:val="24"/>
        </w:rPr>
      </w:pPr>
    </w:p>
    <w:p w:rsidR="005E5569" w:rsidRPr="00300B94" w:rsidRDefault="005E5569" w:rsidP="005B6AE2">
      <w:pPr>
        <w:spacing w:line="240" w:lineRule="auto"/>
        <w:jc w:val="both"/>
        <w:rPr>
          <w:rFonts w:ascii="Arial" w:hAnsi="Arial" w:cs="Arial"/>
          <w:sz w:val="24"/>
          <w:szCs w:val="24"/>
        </w:rPr>
      </w:pPr>
    </w:p>
    <w:p w:rsidR="00004A73" w:rsidRPr="00300B94" w:rsidRDefault="00004A73" w:rsidP="005B6AE2">
      <w:pPr>
        <w:spacing w:line="240" w:lineRule="auto"/>
        <w:jc w:val="both"/>
        <w:rPr>
          <w:rFonts w:ascii="Arial" w:hAnsi="Arial" w:cs="Arial"/>
          <w:b/>
          <w:sz w:val="24"/>
          <w:szCs w:val="24"/>
        </w:rPr>
      </w:pPr>
    </w:p>
    <w:p w:rsidR="00004A73" w:rsidRPr="00300B94" w:rsidRDefault="00004A73" w:rsidP="005B6AE2">
      <w:pPr>
        <w:spacing w:line="240" w:lineRule="auto"/>
        <w:jc w:val="both"/>
        <w:rPr>
          <w:rFonts w:ascii="Arial" w:hAnsi="Arial" w:cs="Arial"/>
          <w:b/>
          <w:sz w:val="24"/>
          <w:szCs w:val="24"/>
        </w:rPr>
      </w:pPr>
    </w:p>
    <w:p w:rsidR="00E44D65" w:rsidRPr="00300B94" w:rsidRDefault="00E44D65" w:rsidP="005B6AE2">
      <w:pPr>
        <w:pStyle w:val="Textoindependiente"/>
        <w:rPr>
          <w:rFonts w:ascii="Arial" w:hAnsi="Arial" w:cs="Arial"/>
          <w:b w:val="0"/>
          <w:sz w:val="24"/>
        </w:rPr>
      </w:pPr>
    </w:p>
    <w:p w:rsidR="00E44D65" w:rsidRPr="00300B94" w:rsidRDefault="00E44D65" w:rsidP="005B6AE2">
      <w:pPr>
        <w:spacing w:line="240" w:lineRule="auto"/>
        <w:rPr>
          <w:rFonts w:ascii="Arial" w:hAnsi="Arial" w:cs="Arial"/>
          <w:sz w:val="24"/>
          <w:szCs w:val="24"/>
        </w:rPr>
      </w:pPr>
    </w:p>
    <w:p w:rsidR="00E44D65" w:rsidRPr="00300B94" w:rsidRDefault="00E44D65" w:rsidP="005B6AE2">
      <w:pPr>
        <w:spacing w:line="240" w:lineRule="auto"/>
        <w:rPr>
          <w:rFonts w:ascii="Arial" w:hAnsi="Arial" w:cs="Arial"/>
          <w:sz w:val="24"/>
          <w:szCs w:val="24"/>
        </w:rPr>
      </w:pPr>
    </w:p>
    <w:sectPr w:rsidR="00E44D65" w:rsidRPr="00300B94" w:rsidSect="007D65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WSPS+TimesNewRomanMTStd-Bold">
    <w:altName w:val="Times New Roman M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MyriadPro-Light">
    <w:altName w:val="Arial Unicode MS"/>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89F"/>
    <w:multiLevelType w:val="hybridMultilevel"/>
    <w:tmpl w:val="E00E1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CE63A08"/>
    <w:multiLevelType w:val="hybridMultilevel"/>
    <w:tmpl w:val="4208B34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6D8853CA"/>
    <w:multiLevelType w:val="hybridMultilevel"/>
    <w:tmpl w:val="7CC8A8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36E139C"/>
    <w:multiLevelType w:val="hybridMultilevel"/>
    <w:tmpl w:val="0CBA983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783E3E6D"/>
    <w:multiLevelType w:val="hybridMultilevel"/>
    <w:tmpl w:val="32DC70E2"/>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76"/>
    <w:rsid w:val="00004A73"/>
    <w:rsid w:val="0005662E"/>
    <w:rsid w:val="000B4E5E"/>
    <w:rsid w:val="00164AA3"/>
    <w:rsid w:val="00257ADF"/>
    <w:rsid w:val="00300B94"/>
    <w:rsid w:val="003723BC"/>
    <w:rsid w:val="00385CF4"/>
    <w:rsid w:val="003F6A5A"/>
    <w:rsid w:val="004405C6"/>
    <w:rsid w:val="00450921"/>
    <w:rsid w:val="00504760"/>
    <w:rsid w:val="0056741D"/>
    <w:rsid w:val="005B6AE2"/>
    <w:rsid w:val="005E5569"/>
    <w:rsid w:val="00621B53"/>
    <w:rsid w:val="006369FA"/>
    <w:rsid w:val="00642327"/>
    <w:rsid w:val="006C3226"/>
    <w:rsid w:val="00703A61"/>
    <w:rsid w:val="00777908"/>
    <w:rsid w:val="007D65AB"/>
    <w:rsid w:val="00810BC2"/>
    <w:rsid w:val="008A44A2"/>
    <w:rsid w:val="008E5742"/>
    <w:rsid w:val="0098258E"/>
    <w:rsid w:val="009D5ED9"/>
    <w:rsid w:val="00B02A70"/>
    <w:rsid w:val="00BA1D62"/>
    <w:rsid w:val="00BD6FB2"/>
    <w:rsid w:val="00D84D76"/>
    <w:rsid w:val="00E44D65"/>
    <w:rsid w:val="00E61F39"/>
    <w:rsid w:val="00E964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03B8C-6E00-4A00-BF34-8CFBB05C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C6"/>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05C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4405C6"/>
    <w:pPr>
      <w:ind w:left="720"/>
      <w:contextualSpacing/>
    </w:pPr>
  </w:style>
  <w:style w:type="character" w:styleId="Hipervnculo">
    <w:name w:val="Hyperlink"/>
    <w:basedOn w:val="Fuentedeprrafopredeter"/>
    <w:uiPriority w:val="99"/>
    <w:unhideWhenUsed/>
    <w:rsid w:val="004405C6"/>
    <w:rPr>
      <w:color w:val="0563C1" w:themeColor="hyperlink"/>
      <w:u w:val="single"/>
    </w:rPr>
  </w:style>
  <w:style w:type="paragraph" w:customStyle="1" w:styleId="Pa4">
    <w:name w:val="Pa4"/>
    <w:basedOn w:val="Normal"/>
    <w:next w:val="Normal"/>
    <w:uiPriority w:val="99"/>
    <w:rsid w:val="00E61F39"/>
    <w:pPr>
      <w:autoSpaceDE w:val="0"/>
      <w:autoSpaceDN w:val="0"/>
      <w:adjustRightInd w:val="0"/>
      <w:spacing w:after="0" w:line="201" w:lineRule="atLeast"/>
    </w:pPr>
    <w:rPr>
      <w:rFonts w:ascii="LAWSPS+TimesNewRomanMTStd-Bold" w:hAnsi="LAWSPS+TimesNewRomanMTStd-Bold"/>
      <w:sz w:val="24"/>
      <w:szCs w:val="24"/>
    </w:rPr>
  </w:style>
  <w:style w:type="paragraph" w:styleId="Textoindependiente">
    <w:name w:val="Body Text"/>
    <w:basedOn w:val="Normal"/>
    <w:link w:val="BodyTextChar"/>
    <w:rsid w:val="0005662E"/>
    <w:pPr>
      <w:spacing w:after="0" w:line="240" w:lineRule="auto"/>
      <w:jc w:val="both"/>
    </w:pPr>
    <w:rPr>
      <w:rFonts w:ascii="Times New Roman" w:eastAsia="Times New Roman" w:hAnsi="Times New Roman" w:cs="Times New Roman"/>
      <w:b/>
      <w:bCs/>
      <w:sz w:val="28"/>
      <w:szCs w:val="24"/>
    </w:rPr>
  </w:style>
  <w:style w:type="character" w:customStyle="1" w:styleId="BodyTextChar">
    <w:name w:val="Body Text Char"/>
    <w:basedOn w:val="Fuentedeprrafopredeter"/>
    <w:link w:val="Textoindependiente"/>
    <w:rsid w:val="0005662E"/>
    <w:rPr>
      <w:rFonts w:ascii="Times New Roman" w:eastAsia="Times New Roman" w:hAnsi="Times New Roman" w:cs="Times New Roman"/>
      <w:b/>
      <w:bCs/>
      <w:sz w:val="28"/>
      <w:szCs w:val="24"/>
      <w:lang w:val="es-ES" w:eastAsia="es-ES"/>
    </w:rPr>
  </w:style>
  <w:style w:type="paragraph" w:customStyle="1" w:styleId="Default">
    <w:name w:val="Default"/>
    <w:rsid w:val="000B4E5E"/>
    <w:pPr>
      <w:autoSpaceDE w:val="0"/>
      <w:autoSpaceDN w:val="0"/>
      <w:adjustRightInd w:val="0"/>
      <w:spacing w:after="0" w:line="240" w:lineRule="auto"/>
    </w:pPr>
    <w:rPr>
      <w:rFonts w:ascii="Arial" w:eastAsiaTheme="minorEastAsia" w:hAnsi="Arial" w:cs="Arial"/>
      <w:color w:val="000000"/>
      <w:sz w:val="24"/>
      <w:szCs w:val="24"/>
      <w:lang w:val="es-ES" w:eastAsia="es-ES"/>
    </w:rPr>
  </w:style>
  <w:style w:type="table" w:styleId="Tablaconcuadrcula">
    <w:name w:val="Table Grid"/>
    <w:basedOn w:val="Tablanormal"/>
    <w:uiPriority w:val="59"/>
    <w:rsid w:val="00004A73"/>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004A73"/>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25864">
      <w:bodyDiv w:val="1"/>
      <w:marLeft w:val="0"/>
      <w:marRight w:val="0"/>
      <w:marTop w:val="0"/>
      <w:marBottom w:val="0"/>
      <w:divBdr>
        <w:top w:val="none" w:sz="0" w:space="0" w:color="auto"/>
        <w:left w:val="none" w:sz="0" w:space="0" w:color="auto"/>
        <w:bottom w:val="none" w:sz="0" w:space="0" w:color="auto"/>
        <w:right w:val="none" w:sz="0" w:space="0" w:color="auto"/>
      </w:divBdr>
      <w:divsChild>
        <w:div w:id="167787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acionasunivep.com/" TargetMode="External"/><Relationship Id="rId13" Type="http://schemas.openxmlformats.org/officeDocument/2006/relationships/hyperlink" Target="https://rua.ua.es/dspace/bitstream%20/10045/72936/1/CultCuid_49_1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vginecobstetricia.sld.cu/index.php/gin/%20article/view%20/202/146" TargetMode="External"/><Relationship Id="rId12" Type="http://schemas.openxmlformats.org/officeDocument/2006/relationships/hyperlink" Target="https://repositorio.pucese.edu.ec/bitstream/%20123456789/1326/1/MANZABA%20AVILA%20DANNY%20ARACELY.pdf" TargetMode="External"/><Relationship Id="rId17" Type="http://schemas.openxmlformats.org/officeDocument/2006/relationships/hyperlink" Target="http://www.scielo.org.ve/scielo.php?script=sci_arttext&amp;pid=S0367-476220%20060001%2000001&amp;lng=es&amp;nrm=iso" TargetMode="External"/><Relationship Id="rId2" Type="http://schemas.openxmlformats.org/officeDocument/2006/relationships/styles" Target="styles.xml"/><Relationship Id="rId16" Type="http://schemas.openxmlformats.org/officeDocument/2006/relationships/hyperlink" Target="https://www.google.es/url?sa=t&amp;rct=j&amp;q=&amp;esrc=s&amp;source=web&amp;cd=2&amp;ved=0ahUKEwjqmuXIn9nVAhWCIVAKHZ6kAgwQFggpMAE&amp;url=http%3A%2F%2Fwww.siis.net%2Fdocumentos%2Fficha%2F515579.pdf&amp;usg=AFQjCNFKhDXaKNUnATtClQT1_Vah0U7tJQ" TargetMode="External"/><Relationship Id="rId1" Type="http://schemas.openxmlformats.org/officeDocument/2006/relationships/numbering" Target="numbering.xml"/><Relationship Id="rId6" Type="http://schemas.openxmlformats.org/officeDocument/2006/relationships/hyperlink" Target="mailto:flaviagarcia@infomed.sld.cu" TargetMode="External"/><Relationship Id="rId11" Type="http://schemas.openxmlformats.org/officeDocument/2006/relationships/hyperlink" Target="http://www.scielo.org.mx/scielo.php?script=sci_%20arttext&amp;pid=%20S0300-90412017000400004&amp;lng=es" TargetMode="External"/><Relationship Id="rId5" Type="http://schemas.openxmlformats.org/officeDocument/2006/relationships/hyperlink" Target="mailto:daynelis19@gmail.com" TargetMode="External"/><Relationship Id="rId15" Type="http://schemas.openxmlformats.org/officeDocument/2006/relationships/hyperlink" Target="https://www.ncbi.nlm.nih.gov/pubmed/27733017" TargetMode="External"/><Relationship Id="rId10" Type="http://schemas.openxmlformats.org/officeDocument/2006/relationships/hyperlink" Target="https://www.ncbi.nlm.nih.gov/pubmed/2568603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ielo.sld.cu/scielo.%20php?script=sci_%20arttext&amp;pid=S1029-30432019000200116&amp;lng=es" TargetMode="External"/><Relationship Id="rId14" Type="http://schemas.openxmlformats.org/officeDocument/2006/relationships/hyperlink" Target="http://scielo.sld.cu/scielo.php?script=%20sci_arttext&amp;pid=S0864-2125201600030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4095</Words>
  <Characters>22526</Characters>
  <Application>Microsoft Office Word</Application>
  <DocSecurity>4</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Familia</cp:lastModifiedBy>
  <cp:revision>2</cp:revision>
  <dcterms:created xsi:type="dcterms:W3CDTF">2022-03-06T21:03:00Z</dcterms:created>
  <dcterms:modified xsi:type="dcterms:W3CDTF">2022-03-06T21:03:00Z</dcterms:modified>
</cp:coreProperties>
</file>