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E5" w:rsidRPr="00FE1D0D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FE1D0D">
        <w:rPr>
          <w:rFonts w:ascii="Arial" w:hAnsi="Arial" w:cs="Arial"/>
          <w:sz w:val="36"/>
          <w:szCs w:val="36"/>
        </w:rPr>
        <w:t xml:space="preserve">Facultad de Ciencias Médicas Mayabeque </w:t>
      </w:r>
    </w:p>
    <w:p w:rsidR="001F6AE5" w:rsidRPr="00FE1D0D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FE1D0D">
        <w:rPr>
          <w:rFonts w:ascii="Arial" w:hAnsi="Arial" w:cs="Arial"/>
          <w:sz w:val="36"/>
          <w:szCs w:val="36"/>
        </w:rPr>
        <w:t>“</w:t>
      </w:r>
      <w:r>
        <w:rPr>
          <w:rFonts w:ascii="Arial" w:hAnsi="Arial" w:cs="Arial"/>
          <w:sz w:val="36"/>
          <w:szCs w:val="36"/>
        </w:rPr>
        <w:t xml:space="preserve">Clínica Estomatológica Andrés Ortiz </w:t>
      </w:r>
      <w:proofErr w:type="gramStart"/>
      <w:r>
        <w:rPr>
          <w:rFonts w:ascii="Arial" w:hAnsi="Arial" w:cs="Arial"/>
          <w:sz w:val="36"/>
          <w:szCs w:val="36"/>
        </w:rPr>
        <w:t xml:space="preserve">Junco </w:t>
      </w:r>
      <w:r w:rsidRPr="00FE1D0D">
        <w:rPr>
          <w:rFonts w:ascii="Arial" w:hAnsi="Arial" w:cs="Arial"/>
          <w:sz w:val="36"/>
          <w:szCs w:val="36"/>
        </w:rPr>
        <w:t>”</w:t>
      </w:r>
      <w:proofErr w:type="gramEnd"/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35F37A2D" wp14:editId="58A2CF83">
            <wp:extent cx="1200150" cy="972344"/>
            <wp:effectExtent l="19050" t="0" r="0" b="0"/>
            <wp:docPr id="2" name="Imagen 1" descr="D:\Thalia\IMG-202010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halia\IMG-20201019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89" cy="97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AE5" w:rsidRPr="00FE1D0D" w:rsidRDefault="001F6AE5" w:rsidP="001F6AE5">
      <w:pPr>
        <w:jc w:val="both"/>
        <w:rPr>
          <w:rFonts w:ascii="Arial" w:hAnsi="Arial" w:cs="Arial"/>
          <w:sz w:val="32"/>
          <w:szCs w:val="32"/>
        </w:rPr>
      </w:pPr>
      <w:r w:rsidRPr="00FE1D0D">
        <w:rPr>
          <w:rFonts w:ascii="Arial" w:hAnsi="Arial" w:cs="Arial"/>
          <w:sz w:val="32"/>
          <w:szCs w:val="32"/>
        </w:rPr>
        <w:t>I Jornada Científica Virtual de Estomatología en Mayabeque ESTOMAY 2022</w:t>
      </w:r>
    </w:p>
    <w:p w:rsidR="001F6AE5" w:rsidRPr="00482B1E" w:rsidRDefault="001F6AE5" w:rsidP="001F6AE5">
      <w:pPr>
        <w:jc w:val="both"/>
        <w:rPr>
          <w:rFonts w:ascii="Arial" w:hAnsi="Arial" w:cs="Arial"/>
          <w:sz w:val="32"/>
          <w:szCs w:val="32"/>
        </w:rPr>
      </w:pPr>
      <w:r w:rsidRPr="00FE1D0D">
        <w:rPr>
          <w:rFonts w:ascii="Arial" w:hAnsi="Arial" w:cs="Arial"/>
          <w:sz w:val="32"/>
          <w:szCs w:val="32"/>
        </w:rPr>
        <w:t>“</w:t>
      </w:r>
      <w:r w:rsidRPr="00482B1E">
        <w:rPr>
          <w:rFonts w:ascii="Arial" w:hAnsi="Arial" w:cs="Arial"/>
          <w:b/>
          <w:bCs/>
          <w:sz w:val="32"/>
          <w:szCs w:val="32"/>
          <w:lang w:val="es-ES_tradnl"/>
        </w:rPr>
        <w:t>Resultados evaluativos en la asignatura de Operatoria Técnica.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 xml:space="preserve"> Cursos 2018-2019,</w:t>
      </w:r>
      <w:r w:rsidRPr="00482B1E">
        <w:rPr>
          <w:rFonts w:ascii="Arial" w:hAnsi="Arial" w:cs="Arial"/>
          <w:b/>
          <w:bCs/>
          <w:sz w:val="32"/>
          <w:szCs w:val="32"/>
          <w:lang w:val="es-ES_tradnl"/>
        </w:rPr>
        <w:t xml:space="preserve"> 2019-2020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 xml:space="preserve"> y 2020-2021</w:t>
      </w:r>
      <w:r w:rsidRPr="00FE1D0D">
        <w:rPr>
          <w:rFonts w:ascii="Arial" w:hAnsi="Arial" w:cs="Arial"/>
          <w:sz w:val="32"/>
          <w:szCs w:val="32"/>
          <w:lang w:val="es-MX"/>
        </w:rPr>
        <w:t>”.</w:t>
      </w:r>
    </w:p>
    <w:p w:rsidR="001F6AE5" w:rsidRPr="00482B1E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1F6AE5" w:rsidRPr="00482B1E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1F6AE5" w:rsidRPr="00482B1E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:rsidR="001F6AE5" w:rsidRPr="00FE1D0D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Autora:</w:t>
      </w:r>
    </w:p>
    <w:p w:rsidR="001F6AE5" w:rsidRPr="00F44900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</w:p>
    <w:p w:rsidR="001F6AE5" w:rsidRPr="00F44900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r w:rsidRPr="00F44900">
        <w:rPr>
          <w:rFonts w:ascii="Arial" w:hAnsi="Arial" w:cs="Arial"/>
          <w:szCs w:val="28"/>
        </w:rPr>
        <w:t xml:space="preserve">Dra. </w:t>
      </w:r>
      <w:proofErr w:type="spellStart"/>
      <w:r w:rsidRPr="00F44900">
        <w:rPr>
          <w:rFonts w:ascii="Arial" w:hAnsi="Arial" w:cs="Arial"/>
          <w:szCs w:val="28"/>
        </w:rPr>
        <w:t>Katyleidis</w:t>
      </w:r>
      <w:proofErr w:type="spellEnd"/>
      <w:r w:rsidRPr="00F44900">
        <w:rPr>
          <w:rFonts w:ascii="Arial" w:hAnsi="Arial" w:cs="Arial"/>
          <w:szCs w:val="28"/>
        </w:rPr>
        <w:t xml:space="preserve"> Pérez Acosta</w:t>
      </w:r>
    </w:p>
    <w:p w:rsidR="001F6AE5" w:rsidRPr="00F44900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r w:rsidRPr="00F44900">
        <w:rPr>
          <w:rFonts w:ascii="Arial" w:hAnsi="Arial" w:cs="Arial"/>
          <w:szCs w:val="28"/>
        </w:rPr>
        <w:t>Especialista de Primer grado en EGI.</w:t>
      </w:r>
    </w:p>
    <w:p w:rsidR="001F6AE5" w:rsidRPr="00F44900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r w:rsidRPr="00F44900">
        <w:rPr>
          <w:rFonts w:ascii="Arial" w:hAnsi="Arial" w:cs="Arial"/>
          <w:szCs w:val="28"/>
        </w:rPr>
        <w:t xml:space="preserve">Máster en Urgencias Estomatológicas. Profesor Auxiliar e Investigador Agregado </w:t>
      </w:r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r w:rsidRPr="00F44900">
        <w:rPr>
          <w:rFonts w:ascii="Arial" w:hAnsi="Arial" w:cs="Arial"/>
          <w:szCs w:val="28"/>
        </w:rPr>
        <w:t>ORCID:</w:t>
      </w:r>
      <w:r w:rsidRPr="00F44900">
        <w:rPr>
          <w:szCs w:val="28"/>
        </w:rPr>
        <w:t xml:space="preserve"> </w:t>
      </w:r>
      <w:hyperlink r:id="rId7" w:history="1">
        <w:r w:rsidRPr="00FC4C7B">
          <w:rPr>
            <w:rStyle w:val="Hipervnculo"/>
            <w:rFonts w:ascii="Arial" w:hAnsi="Arial" w:cs="Arial"/>
            <w:szCs w:val="28"/>
          </w:rPr>
          <w:t>https://orcid.org/0000-0001-5890-3497</w:t>
        </w:r>
      </w:hyperlink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F44900">
        <w:rPr>
          <w:rFonts w:ascii="Arial" w:hAnsi="Arial" w:cs="Arial"/>
          <w:szCs w:val="28"/>
        </w:rPr>
        <w:t xml:space="preserve">Correo electrónico: </w:t>
      </w:r>
      <w:hyperlink r:id="rId8" w:history="1">
        <w:r w:rsidRPr="00F44900">
          <w:rPr>
            <w:rStyle w:val="Hipervnculo"/>
            <w:rFonts w:ascii="Arial" w:hAnsi="Arial" w:cs="Arial"/>
            <w:szCs w:val="28"/>
          </w:rPr>
          <w:t>katileidysp@infomed.sld.cu</w:t>
        </w:r>
      </w:hyperlink>
    </w:p>
    <w:p w:rsidR="001F6AE5" w:rsidRPr="00F44900" w:rsidRDefault="001F6AE5" w:rsidP="001F6A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8"/>
        </w:rPr>
      </w:pPr>
      <w:r w:rsidRPr="00F44900">
        <w:rPr>
          <w:rFonts w:ascii="Arial" w:hAnsi="Arial" w:cs="Arial"/>
          <w:szCs w:val="28"/>
        </w:rPr>
        <w:t xml:space="preserve">Teléfono: 53219315                                                    </w:t>
      </w:r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6AE5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F6AE5" w:rsidRPr="00FE1D0D" w:rsidRDefault="001F6AE5" w:rsidP="001F6AE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D0D">
        <w:rPr>
          <w:rFonts w:ascii="Arial" w:hAnsi="Arial" w:cs="Arial"/>
          <w:sz w:val="24"/>
          <w:szCs w:val="24"/>
        </w:rPr>
        <w:t>“Año 64 de la Revolución”</w:t>
      </w:r>
    </w:p>
    <w:p w:rsidR="001F6AE5" w:rsidRDefault="001F6AE5" w:rsidP="001F6AE5"/>
    <w:p w:rsidR="001F6AE5" w:rsidRDefault="001F6AE5" w:rsidP="004C3EB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4C3EB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A682E" w:rsidRPr="004C3EB4" w:rsidRDefault="00D10E78" w:rsidP="004C3EB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C3EB4">
        <w:rPr>
          <w:rFonts w:ascii="Arial" w:hAnsi="Arial" w:cs="Arial"/>
          <w:b/>
          <w:sz w:val="24"/>
          <w:szCs w:val="24"/>
        </w:rPr>
        <w:lastRenderedPageBreak/>
        <w:t>INTRODUCCION</w:t>
      </w:r>
    </w:p>
    <w:p w:rsidR="004C3EB4" w:rsidRDefault="004C3EB4" w:rsidP="004C3EB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C3EB4">
        <w:rPr>
          <w:rFonts w:ascii="Arial" w:hAnsi="Arial" w:cs="Arial"/>
          <w:sz w:val="24"/>
          <w:szCs w:val="24"/>
        </w:rPr>
        <w:t xml:space="preserve">La evaluación de la educación tiene funciones instructivas, educativas, de comprobación y control, así como de retroalimentación, cuya finalidad es la obtención de información representativa del estado de desarrollo del aprendizaje individual y grupal de los estudiantes. Estas evidencias posibilitan a docentes y directivos emitir juicios de valor que conduzcan a la toma de decisiones y de reorientación, cuyo propósito esencial resulta el mejoramiento de la calidad de la educación. </w:t>
      </w:r>
      <w:r w:rsidR="00B463B2" w:rsidRPr="00B463B2">
        <w:rPr>
          <w:rFonts w:ascii="Arial" w:hAnsi="Arial" w:cs="Arial"/>
          <w:sz w:val="24"/>
          <w:szCs w:val="24"/>
          <w:vertAlign w:val="superscript"/>
        </w:rPr>
        <w:t>1</w:t>
      </w:r>
    </w:p>
    <w:p w:rsidR="00B463B2" w:rsidRDefault="00B463B2" w:rsidP="00B463B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B463B2">
        <w:rPr>
          <w:rFonts w:ascii="Arial" w:hAnsi="Arial" w:cs="Arial"/>
          <w:sz w:val="24"/>
          <w:szCs w:val="24"/>
        </w:rPr>
        <w:t>La evaluación es un proceso integral, sistemático, grad</w:t>
      </w:r>
      <w:r>
        <w:rPr>
          <w:rFonts w:ascii="Arial" w:hAnsi="Arial" w:cs="Arial"/>
          <w:sz w:val="24"/>
          <w:szCs w:val="24"/>
        </w:rPr>
        <w:t xml:space="preserve">ual y continuo, que valora </w:t>
      </w:r>
      <w:r w:rsidR="00F17CA6">
        <w:rPr>
          <w:rFonts w:ascii="Arial" w:hAnsi="Arial" w:cs="Arial"/>
          <w:sz w:val="24"/>
          <w:szCs w:val="24"/>
        </w:rPr>
        <w:t>los cambios</w:t>
      </w:r>
      <w:r w:rsidRPr="00B463B2">
        <w:rPr>
          <w:rFonts w:ascii="Arial" w:hAnsi="Arial" w:cs="Arial"/>
          <w:sz w:val="24"/>
          <w:szCs w:val="24"/>
        </w:rPr>
        <w:t xml:space="preserve"> producidos en la conducta del educand</w:t>
      </w:r>
      <w:r>
        <w:rPr>
          <w:rFonts w:ascii="Arial" w:hAnsi="Arial" w:cs="Arial"/>
          <w:sz w:val="24"/>
          <w:szCs w:val="24"/>
        </w:rPr>
        <w:t xml:space="preserve">o, la eficacia de las </w:t>
      </w:r>
      <w:r w:rsidR="00F17CA6">
        <w:rPr>
          <w:rFonts w:ascii="Arial" w:hAnsi="Arial" w:cs="Arial"/>
          <w:sz w:val="24"/>
          <w:szCs w:val="24"/>
        </w:rPr>
        <w:t>técnicas empleadas</w:t>
      </w:r>
      <w:r w:rsidRPr="00B463B2">
        <w:rPr>
          <w:rFonts w:ascii="Arial" w:hAnsi="Arial" w:cs="Arial"/>
          <w:sz w:val="24"/>
          <w:szCs w:val="24"/>
        </w:rPr>
        <w:t>, la capacidad científica y pedagógica del educ</w:t>
      </w:r>
      <w:r>
        <w:rPr>
          <w:rFonts w:ascii="Arial" w:hAnsi="Arial" w:cs="Arial"/>
          <w:sz w:val="24"/>
          <w:szCs w:val="24"/>
        </w:rPr>
        <w:t xml:space="preserve">ador, la calidad del </w:t>
      </w:r>
      <w:r w:rsidR="00F17CA6">
        <w:rPr>
          <w:rFonts w:ascii="Arial" w:hAnsi="Arial" w:cs="Arial"/>
          <w:sz w:val="24"/>
          <w:szCs w:val="24"/>
        </w:rPr>
        <w:t>currículo (</w:t>
      </w:r>
      <w:r w:rsidRPr="00B463B2">
        <w:rPr>
          <w:rFonts w:ascii="Arial" w:hAnsi="Arial" w:cs="Arial"/>
          <w:sz w:val="24"/>
          <w:szCs w:val="24"/>
        </w:rPr>
        <w:t>plan de estudio) y todo cuanto converge en la realización del hecho educativo.</w:t>
      </w:r>
      <w:r w:rsidRPr="00B463B2">
        <w:rPr>
          <w:rFonts w:ascii="Arial" w:hAnsi="Arial" w:cs="Arial"/>
          <w:sz w:val="24"/>
          <w:szCs w:val="24"/>
          <w:vertAlign w:val="superscript"/>
        </w:rPr>
        <w:t>2</w:t>
      </w:r>
    </w:p>
    <w:p w:rsidR="00F17CA6" w:rsidRDefault="00AA1606" w:rsidP="00AA160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evaluación es una parte integrante del proceso de formación. Debe pensarse en la evaluación desde el inicio, desde la planificación </w:t>
      </w:r>
      <w:r w:rsidRPr="00AA1606">
        <w:rPr>
          <w:rFonts w:ascii="Arial" w:hAnsi="Arial" w:cs="Arial"/>
          <w:sz w:val="24"/>
          <w:szCs w:val="24"/>
        </w:rPr>
        <w:t>del proceso formativo</w:t>
      </w:r>
      <w:r>
        <w:rPr>
          <w:rFonts w:ascii="Arial" w:hAnsi="Arial" w:cs="Arial"/>
          <w:sz w:val="24"/>
          <w:szCs w:val="24"/>
        </w:rPr>
        <w:t>.</w:t>
      </w:r>
      <w:r w:rsidRPr="00AA1606">
        <w:t xml:space="preserve"> </w:t>
      </w:r>
      <w:r w:rsidRPr="00AA1606">
        <w:rPr>
          <w:rFonts w:ascii="Arial" w:hAnsi="Arial" w:cs="Arial"/>
          <w:sz w:val="24"/>
          <w:szCs w:val="24"/>
        </w:rPr>
        <w:t>Es un proceso c</w:t>
      </w:r>
      <w:r>
        <w:rPr>
          <w:rFonts w:ascii="Arial" w:hAnsi="Arial" w:cs="Arial"/>
          <w:sz w:val="24"/>
          <w:szCs w:val="24"/>
        </w:rPr>
        <w:t>onsustancial al desarrollo del proceso</w:t>
      </w:r>
      <w:r w:rsidRPr="00AA1606">
        <w:rPr>
          <w:rFonts w:ascii="Arial" w:hAnsi="Arial" w:cs="Arial"/>
          <w:sz w:val="24"/>
          <w:szCs w:val="24"/>
        </w:rPr>
        <w:t xml:space="preserve"> docente educativo. Tiene como pr</w:t>
      </w:r>
      <w:r>
        <w:rPr>
          <w:rFonts w:ascii="Arial" w:hAnsi="Arial" w:cs="Arial"/>
          <w:sz w:val="24"/>
          <w:szCs w:val="24"/>
        </w:rPr>
        <w:t>opósito comprobar</w:t>
      </w:r>
      <w:r w:rsidRPr="00AA160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 grado de cumplimiento de los objetivos</w:t>
      </w:r>
      <w:r w:rsidRPr="00AA1606">
        <w:rPr>
          <w:rFonts w:ascii="Arial" w:hAnsi="Arial" w:cs="Arial"/>
          <w:sz w:val="24"/>
          <w:szCs w:val="24"/>
        </w:rPr>
        <w:t xml:space="preserve"> formulado</w:t>
      </w:r>
      <w:r>
        <w:rPr>
          <w:rFonts w:ascii="Arial" w:hAnsi="Arial" w:cs="Arial"/>
          <w:sz w:val="24"/>
          <w:szCs w:val="24"/>
        </w:rPr>
        <w:t>s en los planes y programas de estudio</w:t>
      </w:r>
      <w:r w:rsidRPr="00AA16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la valoración de los conocimientos</w:t>
      </w:r>
      <w:r w:rsidRPr="00AA1606">
        <w:rPr>
          <w:rFonts w:ascii="Arial" w:hAnsi="Arial" w:cs="Arial"/>
          <w:sz w:val="24"/>
          <w:szCs w:val="24"/>
        </w:rPr>
        <w:t xml:space="preserve"> y h</w:t>
      </w:r>
      <w:r>
        <w:rPr>
          <w:rFonts w:ascii="Arial" w:hAnsi="Arial" w:cs="Arial"/>
          <w:sz w:val="24"/>
          <w:szCs w:val="24"/>
        </w:rPr>
        <w:t>abilidades que los estudiantes adquieren</w:t>
      </w:r>
      <w:r w:rsidRPr="00AA1606">
        <w:rPr>
          <w:rFonts w:ascii="Arial" w:hAnsi="Arial" w:cs="Arial"/>
          <w:sz w:val="24"/>
          <w:szCs w:val="24"/>
        </w:rPr>
        <w:t xml:space="preserve"> y desarro</w:t>
      </w:r>
      <w:r>
        <w:rPr>
          <w:rFonts w:ascii="Arial" w:hAnsi="Arial" w:cs="Arial"/>
          <w:sz w:val="24"/>
          <w:szCs w:val="24"/>
        </w:rPr>
        <w:t>llan, así como por la conducta que</w:t>
      </w:r>
      <w:r w:rsidRPr="00AA1606">
        <w:rPr>
          <w:rFonts w:ascii="Arial" w:hAnsi="Arial" w:cs="Arial"/>
          <w:sz w:val="24"/>
          <w:szCs w:val="24"/>
        </w:rPr>
        <w:t xml:space="preserve"> manifiestan en</w:t>
      </w:r>
      <w:r>
        <w:rPr>
          <w:rFonts w:ascii="Arial" w:hAnsi="Arial" w:cs="Arial"/>
          <w:sz w:val="24"/>
          <w:szCs w:val="24"/>
        </w:rPr>
        <w:t xml:space="preserve"> el proceso docente educativo.  </w:t>
      </w:r>
    </w:p>
    <w:p w:rsidR="006477F6" w:rsidRPr="006477F6" w:rsidRDefault="006477F6" w:rsidP="006477F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477F6">
        <w:rPr>
          <w:rFonts w:ascii="Arial" w:hAnsi="Arial" w:cs="Arial"/>
          <w:sz w:val="24"/>
          <w:szCs w:val="24"/>
        </w:rPr>
        <w:t>La evaluación de la educación tiene funcione</w:t>
      </w:r>
      <w:r>
        <w:rPr>
          <w:rFonts w:ascii="Arial" w:hAnsi="Arial" w:cs="Arial"/>
          <w:sz w:val="24"/>
          <w:szCs w:val="24"/>
        </w:rPr>
        <w:t xml:space="preserve">s instructivas, educativas, de </w:t>
      </w:r>
      <w:r w:rsidRPr="006477F6">
        <w:rPr>
          <w:rFonts w:ascii="Arial" w:hAnsi="Arial" w:cs="Arial"/>
          <w:sz w:val="24"/>
          <w:szCs w:val="24"/>
        </w:rPr>
        <w:t>comprobación y control, así como de retroalimentación, c</w:t>
      </w:r>
      <w:r>
        <w:rPr>
          <w:rFonts w:ascii="Arial" w:hAnsi="Arial" w:cs="Arial"/>
          <w:sz w:val="24"/>
          <w:szCs w:val="24"/>
        </w:rPr>
        <w:t xml:space="preserve">uya finalidad es la </w:t>
      </w:r>
      <w:r w:rsidRPr="006477F6">
        <w:rPr>
          <w:rFonts w:ascii="Arial" w:hAnsi="Arial" w:cs="Arial"/>
          <w:sz w:val="24"/>
          <w:szCs w:val="24"/>
        </w:rPr>
        <w:t>obtención de información representativa del estado</w:t>
      </w:r>
      <w:r>
        <w:rPr>
          <w:rFonts w:ascii="Arial" w:hAnsi="Arial" w:cs="Arial"/>
          <w:sz w:val="24"/>
          <w:szCs w:val="24"/>
        </w:rPr>
        <w:t xml:space="preserve"> de desarrollo del aprendizaje </w:t>
      </w:r>
      <w:r w:rsidRPr="006477F6">
        <w:rPr>
          <w:rFonts w:ascii="Arial" w:hAnsi="Arial" w:cs="Arial"/>
          <w:sz w:val="24"/>
          <w:szCs w:val="24"/>
        </w:rPr>
        <w:t>individua</w:t>
      </w:r>
      <w:r>
        <w:rPr>
          <w:rFonts w:ascii="Arial" w:hAnsi="Arial" w:cs="Arial"/>
          <w:sz w:val="24"/>
          <w:szCs w:val="24"/>
        </w:rPr>
        <w:t xml:space="preserve">l y grupal de los estudiantes. 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B463B2" w:rsidRDefault="00AA1606" w:rsidP="00F17C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1606">
        <w:rPr>
          <w:rFonts w:ascii="Arial" w:hAnsi="Arial" w:cs="Arial"/>
          <w:sz w:val="24"/>
          <w:szCs w:val="24"/>
        </w:rPr>
        <w:t>Consti</w:t>
      </w:r>
      <w:r>
        <w:rPr>
          <w:rFonts w:ascii="Arial" w:hAnsi="Arial" w:cs="Arial"/>
          <w:sz w:val="24"/>
          <w:szCs w:val="24"/>
        </w:rPr>
        <w:t xml:space="preserve">tuye a su vez, una vía </w:t>
      </w:r>
      <w:r w:rsidRPr="006477F6">
        <w:rPr>
          <w:rFonts w:ascii="Arial" w:hAnsi="Arial" w:cs="Arial"/>
          <w:sz w:val="24"/>
          <w:szCs w:val="24"/>
        </w:rPr>
        <w:t xml:space="preserve">para </w:t>
      </w:r>
      <w:r w:rsidR="00F17CA6" w:rsidRPr="006477F6">
        <w:rPr>
          <w:rFonts w:ascii="Arial" w:hAnsi="Arial" w:cs="Arial"/>
          <w:sz w:val="24"/>
          <w:szCs w:val="24"/>
        </w:rPr>
        <w:t>la retroalimentación</w:t>
      </w:r>
      <w:r w:rsidRPr="006477F6">
        <w:rPr>
          <w:rFonts w:ascii="Arial" w:hAnsi="Arial" w:cs="Arial"/>
          <w:sz w:val="24"/>
          <w:szCs w:val="24"/>
        </w:rPr>
        <w:t xml:space="preserve"> </w:t>
      </w:r>
      <w:r w:rsidRPr="00AA1606">
        <w:rPr>
          <w:rFonts w:ascii="Arial" w:hAnsi="Arial" w:cs="Arial"/>
          <w:sz w:val="24"/>
          <w:szCs w:val="24"/>
        </w:rPr>
        <w:t>y la regulación de dicho proceso.</w:t>
      </w:r>
      <w:r w:rsidR="00F17CA6">
        <w:rPr>
          <w:rFonts w:ascii="Arial" w:hAnsi="Arial" w:cs="Arial"/>
          <w:sz w:val="24"/>
          <w:szCs w:val="24"/>
        </w:rPr>
        <w:t xml:space="preserve"> La calificación e</w:t>
      </w:r>
      <w:r w:rsidR="00F17CA6" w:rsidRPr="00F17CA6">
        <w:rPr>
          <w:rFonts w:ascii="Arial" w:hAnsi="Arial" w:cs="Arial"/>
          <w:sz w:val="24"/>
          <w:szCs w:val="24"/>
        </w:rPr>
        <w:t>s la forma convencio</w:t>
      </w:r>
      <w:r w:rsidR="00F17CA6">
        <w:rPr>
          <w:rFonts w:ascii="Arial" w:hAnsi="Arial" w:cs="Arial"/>
          <w:sz w:val="24"/>
          <w:szCs w:val="24"/>
        </w:rPr>
        <w:t xml:space="preserve">nal establecida, que expresa </w:t>
      </w:r>
      <w:r w:rsidR="006C24B7">
        <w:rPr>
          <w:rFonts w:ascii="Arial" w:hAnsi="Arial" w:cs="Arial"/>
          <w:sz w:val="24"/>
          <w:szCs w:val="24"/>
        </w:rPr>
        <w:t>en categorías</w:t>
      </w:r>
      <w:r w:rsidR="00F17CA6">
        <w:rPr>
          <w:rFonts w:ascii="Arial" w:hAnsi="Arial" w:cs="Arial"/>
          <w:sz w:val="24"/>
          <w:szCs w:val="24"/>
        </w:rPr>
        <w:t xml:space="preserve"> el resultado de </w:t>
      </w:r>
      <w:r w:rsidR="006C24B7">
        <w:rPr>
          <w:rFonts w:ascii="Arial" w:hAnsi="Arial" w:cs="Arial"/>
          <w:sz w:val="24"/>
          <w:szCs w:val="24"/>
        </w:rPr>
        <w:t>la evaluación</w:t>
      </w:r>
      <w:r w:rsidR="00F17CA6">
        <w:rPr>
          <w:rFonts w:ascii="Arial" w:hAnsi="Arial" w:cs="Arial"/>
          <w:sz w:val="24"/>
          <w:szCs w:val="24"/>
        </w:rPr>
        <w:t>.</w:t>
      </w:r>
    </w:p>
    <w:p w:rsidR="00971036" w:rsidRDefault="00971036" w:rsidP="0097103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71036">
        <w:rPr>
          <w:rFonts w:ascii="Arial" w:hAnsi="Arial" w:cs="Arial"/>
          <w:sz w:val="24"/>
          <w:szCs w:val="24"/>
        </w:rPr>
        <w:t>La evaluación constituye uno de los aspectos más polé</w:t>
      </w:r>
      <w:r>
        <w:rPr>
          <w:rFonts w:ascii="Arial" w:hAnsi="Arial" w:cs="Arial"/>
          <w:sz w:val="24"/>
          <w:szCs w:val="24"/>
        </w:rPr>
        <w:t xml:space="preserve">micos y de mayor interés en la </w:t>
      </w:r>
      <w:r w:rsidRPr="00971036">
        <w:rPr>
          <w:rFonts w:ascii="Arial" w:hAnsi="Arial" w:cs="Arial"/>
          <w:sz w:val="24"/>
          <w:szCs w:val="24"/>
        </w:rPr>
        <w:t>práctica pedagógica, a la vez que desempeña una func</w:t>
      </w:r>
      <w:r>
        <w:rPr>
          <w:rFonts w:ascii="Arial" w:hAnsi="Arial" w:cs="Arial"/>
          <w:sz w:val="24"/>
          <w:szCs w:val="24"/>
        </w:rPr>
        <w:t xml:space="preserve">ión importante para mejorar la </w:t>
      </w:r>
      <w:r w:rsidRPr="00971036">
        <w:rPr>
          <w:rFonts w:ascii="Arial" w:hAnsi="Arial" w:cs="Arial"/>
          <w:sz w:val="24"/>
          <w:szCs w:val="24"/>
        </w:rPr>
        <w:t>enseñanza; al controlar continuamente, hace posib</w:t>
      </w:r>
      <w:r>
        <w:rPr>
          <w:rFonts w:ascii="Arial" w:hAnsi="Arial" w:cs="Arial"/>
          <w:sz w:val="24"/>
          <w:szCs w:val="24"/>
        </w:rPr>
        <w:t xml:space="preserve">le detectar sus aciertos y sus </w:t>
      </w:r>
      <w:r w:rsidRPr="00971036">
        <w:rPr>
          <w:rFonts w:ascii="Arial" w:hAnsi="Arial" w:cs="Arial"/>
          <w:sz w:val="24"/>
          <w:szCs w:val="24"/>
        </w:rPr>
        <w:t xml:space="preserve">errores. </w:t>
      </w:r>
      <w:r w:rsidR="006477F6">
        <w:rPr>
          <w:rFonts w:ascii="Arial" w:hAnsi="Arial" w:cs="Arial"/>
          <w:sz w:val="24"/>
          <w:szCs w:val="24"/>
          <w:vertAlign w:val="superscript"/>
        </w:rPr>
        <w:t>4</w:t>
      </w:r>
    </w:p>
    <w:p w:rsidR="00B1203E" w:rsidRDefault="00B1203E" w:rsidP="0097103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1203E">
        <w:rPr>
          <w:rFonts w:ascii="Arial" w:hAnsi="Arial" w:cs="Arial"/>
          <w:sz w:val="24"/>
          <w:szCs w:val="24"/>
        </w:rPr>
        <w:lastRenderedPageBreak/>
        <w:t>En Cuba, en todas las carreras de las Ciencias Médicas, desde la década de los años 90 son declarados los pilares de la calidad, como expresión del desarrollo y madurez alcanzado por la educación médica</w:t>
      </w:r>
      <w:r>
        <w:rPr>
          <w:rFonts w:ascii="Arial" w:hAnsi="Arial" w:cs="Arial"/>
          <w:sz w:val="24"/>
          <w:szCs w:val="24"/>
        </w:rPr>
        <w:t>.</w:t>
      </w:r>
      <w:r w:rsidR="006477F6">
        <w:rPr>
          <w:rFonts w:ascii="Arial" w:hAnsi="Arial" w:cs="Arial"/>
          <w:sz w:val="24"/>
          <w:szCs w:val="24"/>
          <w:vertAlign w:val="superscript"/>
        </w:rPr>
        <w:t>5</w:t>
      </w:r>
    </w:p>
    <w:p w:rsidR="00971036" w:rsidRDefault="00971036" w:rsidP="0097103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971036">
        <w:rPr>
          <w:rFonts w:ascii="Arial" w:hAnsi="Arial" w:cs="Arial"/>
          <w:sz w:val="24"/>
          <w:szCs w:val="24"/>
        </w:rPr>
        <w:t xml:space="preserve">La evaluación de </w:t>
      </w:r>
      <w:r>
        <w:rPr>
          <w:rFonts w:ascii="Arial" w:hAnsi="Arial" w:cs="Arial"/>
          <w:sz w:val="24"/>
          <w:szCs w:val="24"/>
        </w:rPr>
        <w:t>la calidad de la educación del estudiante</w:t>
      </w:r>
      <w:r w:rsidRPr="00971036">
        <w:rPr>
          <w:rFonts w:ascii="Arial" w:hAnsi="Arial" w:cs="Arial"/>
          <w:sz w:val="24"/>
          <w:szCs w:val="24"/>
        </w:rPr>
        <w:t xml:space="preserve"> de ciencias médicas pretende contribu</w:t>
      </w:r>
      <w:r>
        <w:rPr>
          <w:rFonts w:ascii="Arial" w:hAnsi="Arial" w:cs="Arial"/>
          <w:sz w:val="24"/>
          <w:szCs w:val="24"/>
        </w:rPr>
        <w:t>ir al propósito de alcanzar la excelencia</w:t>
      </w:r>
      <w:r w:rsidRPr="00971036">
        <w:rPr>
          <w:rFonts w:ascii="Arial" w:hAnsi="Arial" w:cs="Arial"/>
          <w:sz w:val="24"/>
          <w:szCs w:val="24"/>
        </w:rPr>
        <w:t xml:space="preserve"> en su formación profesional.</w:t>
      </w:r>
      <w:r w:rsidR="006477F6">
        <w:rPr>
          <w:rFonts w:ascii="Arial" w:hAnsi="Arial" w:cs="Arial"/>
          <w:sz w:val="24"/>
          <w:szCs w:val="24"/>
          <w:vertAlign w:val="superscript"/>
        </w:rPr>
        <w:t>6</w:t>
      </w:r>
    </w:p>
    <w:p w:rsidR="00991395" w:rsidRDefault="00991395" w:rsidP="0097103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9139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e</w:t>
      </w:r>
      <w:r w:rsidRPr="00991395">
        <w:rPr>
          <w:rFonts w:ascii="Arial" w:hAnsi="Arial" w:cs="Arial"/>
          <w:sz w:val="24"/>
          <w:szCs w:val="24"/>
        </w:rPr>
        <w:t>l proceso de perfeccionamiento de la educación superior cubana se fundamenta en la necesidad de formar un tipo de profesional capaz de dar respuesta a las exigencias de las demandas sociales, y a su vez se evidencia la importancia de garantizar un egresado de perfil amplio con una sólida formación teórico-práctica capaz de formarse como especialista durante toda su vida.</w:t>
      </w:r>
    </w:p>
    <w:p w:rsidR="00971036" w:rsidRDefault="00971036" w:rsidP="0097103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971036">
        <w:rPr>
          <w:rFonts w:ascii="Arial" w:hAnsi="Arial" w:cs="Arial"/>
          <w:sz w:val="24"/>
          <w:szCs w:val="24"/>
        </w:rPr>
        <w:t>Se hace evidente la necesidad de mantener altos nive</w:t>
      </w:r>
      <w:r>
        <w:rPr>
          <w:rFonts w:ascii="Arial" w:hAnsi="Arial" w:cs="Arial"/>
          <w:sz w:val="24"/>
          <w:szCs w:val="24"/>
        </w:rPr>
        <w:t>les de calidad en la formación de</w:t>
      </w:r>
      <w:r w:rsidRPr="00971036">
        <w:rPr>
          <w:rFonts w:ascii="Arial" w:hAnsi="Arial" w:cs="Arial"/>
          <w:sz w:val="24"/>
          <w:szCs w:val="24"/>
        </w:rPr>
        <w:t xml:space="preserve"> los profesionales de la salud para lograr y ma</w:t>
      </w:r>
      <w:r>
        <w:rPr>
          <w:rFonts w:ascii="Arial" w:hAnsi="Arial" w:cs="Arial"/>
          <w:sz w:val="24"/>
          <w:szCs w:val="24"/>
        </w:rPr>
        <w:t>ntener resultados relevantes a nivel</w:t>
      </w:r>
      <w:r w:rsidRPr="00971036">
        <w:rPr>
          <w:rFonts w:ascii="Arial" w:hAnsi="Arial" w:cs="Arial"/>
          <w:sz w:val="24"/>
          <w:szCs w:val="24"/>
        </w:rPr>
        <w:t xml:space="preserve"> social en esta esfera. Para alcanza</w:t>
      </w:r>
      <w:r>
        <w:rPr>
          <w:rFonts w:ascii="Arial" w:hAnsi="Arial" w:cs="Arial"/>
          <w:sz w:val="24"/>
          <w:szCs w:val="24"/>
        </w:rPr>
        <w:t>r este propósito es importante monitorear</w:t>
      </w:r>
      <w:r w:rsidRPr="00971036">
        <w:rPr>
          <w:rFonts w:ascii="Arial" w:hAnsi="Arial" w:cs="Arial"/>
          <w:sz w:val="24"/>
          <w:szCs w:val="24"/>
        </w:rPr>
        <w:t xml:space="preserve"> y evaluar de forma continua el proceso e</w:t>
      </w:r>
      <w:r>
        <w:rPr>
          <w:rFonts w:ascii="Arial" w:hAnsi="Arial" w:cs="Arial"/>
          <w:sz w:val="24"/>
          <w:szCs w:val="24"/>
        </w:rPr>
        <w:t>ducativo de los estudiantes de las</w:t>
      </w:r>
      <w:r w:rsidRPr="00971036">
        <w:rPr>
          <w:rFonts w:ascii="Arial" w:hAnsi="Arial" w:cs="Arial"/>
          <w:sz w:val="24"/>
          <w:szCs w:val="24"/>
        </w:rPr>
        <w:t xml:space="preserve"> ciencias médicas en lo referente a la calidad de los instrumentos de evaluación.</w:t>
      </w:r>
      <w:r w:rsidR="006477F6">
        <w:rPr>
          <w:rFonts w:ascii="Arial" w:hAnsi="Arial" w:cs="Arial"/>
          <w:sz w:val="24"/>
          <w:szCs w:val="24"/>
          <w:vertAlign w:val="superscript"/>
        </w:rPr>
        <w:t>7</w:t>
      </w:r>
    </w:p>
    <w:p w:rsidR="00971036" w:rsidRDefault="006C24B7" w:rsidP="006C24B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6C24B7">
        <w:rPr>
          <w:rFonts w:ascii="Arial" w:hAnsi="Arial" w:cs="Arial"/>
          <w:sz w:val="24"/>
          <w:szCs w:val="24"/>
        </w:rPr>
        <w:t>En la actualidad es esencial que el educador</w:t>
      </w:r>
      <w:r>
        <w:rPr>
          <w:rFonts w:ascii="Arial" w:hAnsi="Arial" w:cs="Arial"/>
          <w:sz w:val="24"/>
          <w:szCs w:val="24"/>
        </w:rPr>
        <w:t xml:space="preserve"> j</w:t>
      </w:r>
      <w:r w:rsidRPr="006C24B7">
        <w:rPr>
          <w:rFonts w:ascii="Arial" w:hAnsi="Arial" w:cs="Arial"/>
          <w:sz w:val="24"/>
          <w:szCs w:val="24"/>
        </w:rPr>
        <w:t>unto al dominio que debe tener acerca de cómo se genera todo conocimi</w:t>
      </w:r>
      <w:r>
        <w:rPr>
          <w:rFonts w:ascii="Arial" w:hAnsi="Arial" w:cs="Arial"/>
          <w:sz w:val="24"/>
          <w:szCs w:val="24"/>
        </w:rPr>
        <w:t xml:space="preserve">ento, </w:t>
      </w:r>
      <w:r w:rsidRPr="006C24B7">
        <w:rPr>
          <w:rFonts w:ascii="Arial" w:hAnsi="Arial" w:cs="Arial"/>
          <w:sz w:val="24"/>
          <w:szCs w:val="24"/>
        </w:rPr>
        <w:t xml:space="preserve">sepa analizar cómo aprenden sus </w:t>
      </w:r>
      <w:r>
        <w:rPr>
          <w:rFonts w:ascii="Arial" w:hAnsi="Arial" w:cs="Arial"/>
          <w:sz w:val="24"/>
          <w:szCs w:val="24"/>
        </w:rPr>
        <w:t>estudiantes, cómo logran alcanzar</w:t>
      </w:r>
      <w:r w:rsidRPr="006C24B7">
        <w:rPr>
          <w:rFonts w:ascii="Arial" w:hAnsi="Arial" w:cs="Arial"/>
          <w:sz w:val="24"/>
          <w:szCs w:val="24"/>
        </w:rPr>
        <w:t xml:space="preserve"> los desarrollos establecidos en el perfil profesional del currículo; y, sobre todo,</w:t>
      </w:r>
      <w:r w:rsidRPr="006C24B7">
        <w:t xml:space="preserve"> </w:t>
      </w:r>
      <w:r w:rsidRPr="006C24B7">
        <w:rPr>
          <w:rFonts w:ascii="Arial" w:hAnsi="Arial" w:cs="Arial"/>
          <w:sz w:val="24"/>
          <w:szCs w:val="24"/>
        </w:rPr>
        <w:t>de qué manera su actuación profesoral orienta y est</w:t>
      </w:r>
      <w:r>
        <w:rPr>
          <w:rFonts w:ascii="Arial" w:hAnsi="Arial" w:cs="Arial"/>
          <w:sz w:val="24"/>
          <w:szCs w:val="24"/>
        </w:rPr>
        <w:t>imula los comportamientos para que</w:t>
      </w:r>
      <w:r w:rsidRPr="006C24B7">
        <w:rPr>
          <w:rFonts w:ascii="Arial" w:hAnsi="Arial" w:cs="Arial"/>
          <w:sz w:val="24"/>
          <w:szCs w:val="24"/>
        </w:rPr>
        <w:t xml:space="preserve"> el aprendizaje se produzca. </w:t>
      </w:r>
      <w:r w:rsidR="006477F6">
        <w:rPr>
          <w:rFonts w:ascii="Arial" w:hAnsi="Arial" w:cs="Arial"/>
          <w:sz w:val="24"/>
          <w:szCs w:val="24"/>
          <w:vertAlign w:val="superscript"/>
        </w:rPr>
        <w:t>8</w:t>
      </w:r>
    </w:p>
    <w:p w:rsidR="00561389" w:rsidRDefault="006C24B7" w:rsidP="0056138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 xml:space="preserve">La asignatura Operatoria Técnica, que pertenece a la Disciplina Principal Integradora, se imparte en el cuarto semestre de la carrera de </w:t>
      </w:r>
      <w:r w:rsidR="00561389">
        <w:rPr>
          <w:rFonts w:ascii="Arial" w:hAnsi="Arial" w:cs="Arial"/>
          <w:sz w:val="24"/>
          <w:szCs w:val="24"/>
        </w:rPr>
        <w:t xml:space="preserve">Estomatología, </w:t>
      </w:r>
      <w:r w:rsidR="00561389">
        <w:rPr>
          <w:rFonts w:ascii="Arial" w:hAnsi="Arial" w:cs="Arial"/>
          <w:sz w:val="24"/>
          <w:szCs w:val="24"/>
          <w:lang w:val="es-MX"/>
        </w:rPr>
        <w:t>es la asignatura donde el e</w:t>
      </w:r>
      <w:r w:rsidR="00561389" w:rsidRPr="00561389">
        <w:rPr>
          <w:rFonts w:ascii="Arial" w:hAnsi="Arial" w:cs="Arial"/>
          <w:sz w:val="24"/>
          <w:szCs w:val="24"/>
          <w:lang w:val="es-MX"/>
        </w:rPr>
        <w:t>studiante por primera vez comienza a realizar los procederes operatorios en simuladores</w:t>
      </w:r>
      <w:r w:rsidR="00561389">
        <w:rPr>
          <w:rFonts w:ascii="Arial" w:hAnsi="Arial" w:cs="Arial"/>
          <w:sz w:val="24"/>
          <w:szCs w:val="24"/>
          <w:lang w:val="es-MX"/>
        </w:rPr>
        <w:t xml:space="preserve">.  </w:t>
      </w:r>
    </w:p>
    <w:p w:rsidR="006718CD" w:rsidRDefault="00561389" w:rsidP="004C3EB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61389">
        <w:rPr>
          <w:rFonts w:ascii="Arial" w:hAnsi="Arial" w:cs="Arial"/>
          <w:sz w:val="24"/>
          <w:szCs w:val="24"/>
        </w:rPr>
        <w:t xml:space="preserve">Se decide realizar la presente investigación con el objetivo de describir los resultados de las evaluaciones en la asignatura de Operatoria Técnica, así como identificar las principales fortalezas y debilidades  </w:t>
      </w: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04943" w:rsidRPr="001F6AE5" w:rsidRDefault="00704943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F6AE5">
        <w:rPr>
          <w:rFonts w:ascii="Arial" w:hAnsi="Arial" w:cs="Arial"/>
          <w:b/>
          <w:sz w:val="24"/>
          <w:szCs w:val="24"/>
        </w:rPr>
        <w:lastRenderedPageBreak/>
        <w:t>METÓDOS</w:t>
      </w:r>
    </w:p>
    <w:p w:rsidR="006C24B7" w:rsidRDefault="00704943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04943">
        <w:rPr>
          <w:rFonts w:ascii="Arial" w:hAnsi="Arial" w:cs="Arial"/>
          <w:sz w:val="24"/>
          <w:szCs w:val="24"/>
        </w:rPr>
        <w:t xml:space="preserve">Se realizó </w:t>
      </w:r>
      <w:r>
        <w:rPr>
          <w:rFonts w:ascii="Arial" w:hAnsi="Arial" w:cs="Arial"/>
          <w:sz w:val="24"/>
          <w:szCs w:val="24"/>
        </w:rPr>
        <w:t xml:space="preserve">estudio </w:t>
      </w:r>
      <w:r w:rsidRPr="00704943">
        <w:rPr>
          <w:rFonts w:ascii="Arial" w:hAnsi="Arial" w:cs="Arial"/>
          <w:sz w:val="24"/>
          <w:szCs w:val="24"/>
        </w:rPr>
        <w:t xml:space="preserve">observacional descriptivo </w:t>
      </w:r>
      <w:proofErr w:type="spellStart"/>
      <w:r w:rsidRPr="00704943">
        <w:rPr>
          <w:rFonts w:ascii="Arial" w:hAnsi="Arial" w:cs="Arial"/>
          <w:sz w:val="24"/>
          <w:szCs w:val="24"/>
        </w:rPr>
        <w:t>cuanti</w:t>
      </w:r>
      <w:proofErr w:type="spellEnd"/>
      <w:r w:rsidRPr="00704943">
        <w:rPr>
          <w:rFonts w:ascii="Arial" w:hAnsi="Arial" w:cs="Arial"/>
          <w:sz w:val="24"/>
          <w:szCs w:val="24"/>
        </w:rPr>
        <w:t>-cualitativo retrospectivo</w:t>
      </w:r>
      <w:r w:rsidR="00561389" w:rsidRPr="00704943">
        <w:rPr>
          <w:rFonts w:ascii="Arial" w:hAnsi="Arial" w:cs="Arial"/>
          <w:sz w:val="24"/>
          <w:szCs w:val="24"/>
        </w:rPr>
        <w:t xml:space="preserve"> </w:t>
      </w:r>
      <w:r w:rsidR="007D4D72">
        <w:rPr>
          <w:rFonts w:ascii="Arial" w:hAnsi="Arial" w:cs="Arial"/>
          <w:sz w:val="24"/>
          <w:szCs w:val="24"/>
        </w:rPr>
        <w:t xml:space="preserve">de los resultados de la evaluaciones </w:t>
      </w:r>
      <w:r w:rsidR="006477F6">
        <w:rPr>
          <w:rFonts w:ascii="Arial" w:hAnsi="Arial" w:cs="Arial"/>
          <w:sz w:val="24"/>
          <w:szCs w:val="24"/>
        </w:rPr>
        <w:t>frecuentes,</w:t>
      </w:r>
      <w:r w:rsidR="007D4D72">
        <w:rPr>
          <w:rFonts w:ascii="Arial" w:hAnsi="Arial" w:cs="Arial"/>
          <w:sz w:val="24"/>
          <w:szCs w:val="24"/>
        </w:rPr>
        <w:t xml:space="preserve"> parciales y final </w:t>
      </w:r>
      <w:r w:rsidR="006477F6">
        <w:rPr>
          <w:rFonts w:ascii="Arial" w:hAnsi="Arial" w:cs="Arial"/>
          <w:sz w:val="24"/>
          <w:szCs w:val="24"/>
        </w:rPr>
        <w:t>de Asignatura</w:t>
      </w:r>
      <w:r>
        <w:rPr>
          <w:rFonts w:ascii="Arial" w:hAnsi="Arial" w:cs="Arial"/>
          <w:sz w:val="24"/>
          <w:szCs w:val="24"/>
        </w:rPr>
        <w:t xml:space="preserve"> Operatoria Técnica</w:t>
      </w:r>
      <w:r w:rsidR="0042586B">
        <w:rPr>
          <w:rFonts w:ascii="Arial" w:hAnsi="Arial" w:cs="Arial"/>
          <w:sz w:val="24"/>
          <w:szCs w:val="24"/>
        </w:rPr>
        <w:t xml:space="preserve"> que se imparte en el cuarto semestre de la Carrera de Estomatología perteneciente a la Facultad de Ciencias Médicas de </w:t>
      </w:r>
      <w:proofErr w:type="gramStart"/>
      <w:r w:rsidR="0042586B">
        <w:rPr>
          <w:rFonts w:ascii="Arial" w:hAnsi="Arial" w:cs="Arial"/>
          <w:sz w:val="24"/>
          <w:szCs w:val="24"/>
        </w:rPr>
        <w:t xml:space="preserve">Mayabeque  </w:t>
      </w:r>
      <w:r w:rsidR="007D4D72">
        <w:rPr>
          <w:rFonts w:ascii="Arial" w:hAnsi="Arial" w:cs="Arial"/>
          <w:sz w:val="24"/>
          <w:szCs w:val="24"/>
        </w:rPr>
        <w:t>de</w:t>
      </w:r>
      <w:proofErr w:type="gramEnd"/>
      <w:r w:rsidR="007D4D72">
        <w:rPr>
          <w:rFonts w:ascii="Arial" w:hAnsi="Arial" w:cs="Arial"/>
          <w:sz w:val="24"/>
          <w:szCs w:val="24"/>
        </w:rPr>
        <w:t xml:space="preserve"> los cursos </w:t>
      </w:r>
      <w:r w:rsidR="007D4D72" w:rsidRPr="007D4D72">
        <w:rPr>
          <w:rFonts w:ascii="Arial" w:hAnsi="Arial" w:cs="Arial"/>
          <w:sz w:val="24"/>
          <w:szCs w:val="24"/>
        </w:rPr>
        <w:t>2018-2019, 2019-2020 y 2020-2021</w:t>
      </w:r>
      <w:r>
        <w:rPr>
          <w:rFonts w:ascii="Arial" w:hAnsi="Arial" w:cs="Arial"/>
          <w:sz w:val="24"/>
          <w:szCs w:val="24"/>
        </w:rPr>
        <w:t xml:space="preserve"> </w:t>
      </w:r>
      <w:r w:rsidR="0019625E">
        <w:rPr>
          <w:rFonts w:ascii="Arial" w:hAnsi="Arial" w:cs="Arial"/>
          <w:sz w:val="24"/>
          <w:szCs w:val="24"/>
        </w:rPr>
        <w:t>.</w:t>
      </w:r>
    </w:p>
    <w:p w:rsidR="0019625E" w:rsidRDefault="0019625E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universo estuvo integrado por todos los </w:t>
      </w:r>
      <w:r w:rsidR="000C4D7B">
        <w:rPr>
          <w:rFonts w:ascii="Arial" w:hAnsi="Arial" w:cs="Arial"/>
          <w:sz w:val="24"/>
          <w:szCs w:val="24"/>
        </w:rPr>
        <w:t>estudiantes que</w:t>
      </w:r>
      <w:r>
        <w:rPr>
          <w:rFonts w:ascii="Arial" w:hAnsi="Arial" w:cs="Arial"/>
          <w:sz w:val="24"/>
          <w:szCs w:val="24"/>
        </w:rPr>
        <w:t xml:space="preserve"> estaban </w:t>
      </w:r>
      <w:r w:rsidR="00B22C3A">
        <w:rPr>
          <w:rFonts w:ascii="Arial" w:hAnsi="Arial" w:cs="Arial"/>
          <w:sz w:val="24"/>
          <w:szCs w:val="24"/>
        </w:rPr>
        <w:t>cursando el</w:t>
      </w:r>
      <w:r>
        <w:rPr>
          <w:rFonts w:ascii="Arial" w:hAnsi="Arial" w:cs="Arial"/>
          <w:sz w:val="24"/>
          <w:szCs w:val="24"/>
        </w:rPr>
        <w:t xml:space="preserve"> segundo año de la Carrera en los cursos antes mencionados.</w:t>
      </w:r>
    </w:p>
    <w:p w:rsidR="0019625E" w:rsidRDefault="0019625E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datos de las evaluaciones parciales y frecuentes se obtuvieron del </w:t>
      </w:r>
      <w:r w:rsidR="000C4D7B" w:rsidRPr="006477F6">
        <w:rPr>
          <w:rFonts w:ascii="Arial" w:hAnsi="Arial" w:cs="Arial"/>
          <w:sz w:val="24"/>
          <w:szCs w:val="24"/>
        </w:rPr>
        <w:t xml:space="preserve">registro de asistencia y </w:t>
      </w:r>
      <w:r w:rsidR="006477F6" w:rsidRPr="006477F6">
        <w:rPr>
          <w:rFonts w:ascii="Arial" w:hAnsi="Arial" w:cs="Arial"/>
          <w:sz w:val="24"/>
          <w:szCs w:val="24"/>
        </w:rPr>
        <w:t>evaluación,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tarjeta de habilidades y el de las evaluaciones finales del acta de examen de cada año la cual se solicitó al Departamento de Secretaria Docente previa autorización de la Jefa de </w:t>
      </w:r>
      <w:r w:rsidR="006477F6">
        <w:rPr>
          <w:rFonts w:ascii="Arial" w:hAnsi="Arial" w:cs="Arial"/>
          <w:sz w:val="24"/>
          <w:szCs w:val="24"/>
        </w:rPr>
        <w:t>Carrera.</w:t>
      </w:r>
    </w:p>
    <w:p w:rsidR="006156B7" w:rsidRPr="0019625E" w:rsidRDefault="009D438E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70EF8">
        <w:rPr>
          <w:rFonts w:ascii="Arial" w:eastAsia="Times New Roman" w:hAnsi="Arial" w:cs="Arial"/>
          <w:sz w:val="24"/>
          <w:szCs w:val="24"/>
          <w:lang w:val="es-ES_tradnl" w:eastAsia="es-ES"/>
        </w:rPr>
        <w:t>Las variables fueron agrupadas de la siguiente manera para su análisis</w:t>
      </w:r>
      <w:r>
        <w:rPr>
          <w:rFonts w:ascii="Arial" w:hAnsi="Arial" w:cs="Arial"/>
          <w:sz w:val="24"/>
          <w:szCs w:val="24"/>
        </w:rPr>
        <w:t xml:space="preserve"> en: </w:t>
      </w:r>
      <w:r w:rsidR="006156B7">
        <w:rPr>
          <w:rFonts w:ascii="Arial" w:hAnsi="Arial" w:cs="Arial"/>
          <w:sz w:val="24"/>
          <w:szCs w:val="24"/>
        </w:rPr>
        <w:t>Curso Académico (</w:t>
      </w:r>
      <w:r w:rsidR="006156B7" w:rsidRPr="007D4D72">
        <w:rPr>
          <w:rFonts w:ascii="Arial" w:hAnsi="Arial" w:cs="Arial"/>
          <w:sz w:val="24"/>
          <w:szCs w:val="24"/>
        </w:rPr>
        <w:t>2018-2019, 2019-2020 y 2020-2021</w:t>
      </w:r>
      <w:r w:rsidR="006156B7">
        <w:rPr>
          <w:rFonts w:ascii="Arial" w:hAnsi="Arial" w:cs="Arial"/>
          <w:sz w:val="24"/>
          <w:szCs w:val="24"/>
        </w:rPr>
        <w:t>), Tipo de Evaluación (</w:t>
      </w:r>
      <w:r w:rsidR="006156B7" w:rsidRPr="006156B7">
        <w:rPr>
          <w:rFonts w:ascii="Arial" w:hAnsi="Arial" w:cs="Arial"/>
          <w:sz w:val="24"/>
          <w:szCs w:val="24"/>
        </w:rPr>
        <w:t xml:space="preserve">frecuente, </w:t>
      </w:r>
      <w:r w:rsidR="006156B7">
        <w:rPr>
          <w:rFonts w:ascii="Arial" w:hAnsi="Arial" w:cs="Arial"/>
          <w:sz w:val="24"/>
          <w:szCs w:val="24"/>
        </w:rPr>
        <w:t>parcial y</w:t>
      </w:r>
      <w:r w:rsidR="006156B7" w:rsidRPr="006156B7">
        <w:rPr>
          <w:rFonts w:ascii="Arial" w:hAnsi="Arial" w:cs="Arial"/>
          <w:sz w:val="24"/>
          <w:szCs w:val="24"/>
        </w:rPr>
        <w:t xml:space="preserve"> final</w:t>
      </w:r>
      <w:r w:rsidR="006156B7">
        <w:rPr>
          <w:rFonts w:ascii="Arial" w:hAnsi="Arial" w:cs="Arial"/>
          <w:sz w:val="24"/>
          <w:szCs w:val="24"/>
        </w:rPr>
        <w:t xml:space="preserve">) y Calificación (5 - </w:t>
      </w:r>
      <w:r w:rsidR="006156B7" w:rsidRPr="006156B7">
        <w:rPr>
          <w:rFonts w:ascii="Arial" w:hAnsi="Arial" w:cs="Arial"/>
          <w:sz w:val="24"/>
          <w:szCs w:val="24"/>
        </w:rPr>
        <w:t xml:space="preserve">excelente, </w:t>
      </w:r>
      <w:r w:rsidR="006156B7">
        <w:rPr>
          <w:rFonts w:ascii="Arial" w:hAnsi="Arial" w:cs="Arial"/>
          <w:sz w:val="24"/>
          <w:szCs w:val="24"/>
        </w:rPr>
        <w:t>4 -</w:t>
      </w:r>
      <w:r w:rsidR="006156B7" w:rsidRPr="006156B7">
        <w:rPr>
          <w:rFonts w:ascii="Arial" w:hAnsi="Arial" w:cs="Arial"/>
          <w:sz w:val="24"/>
          <w:szCs w:val="24"/>
        </w:rPr>
        <w:t xml:space="preserve">bien, </w:t>
      </w:r>
      <w:r w:rsidR="006156B7">
        <w:rPr>
          <w:rFonts w:ascii="Arial" w:hAnsi="Arial" w:cs="Arial"/>
          <w:sz w:val="24"/>
          <w:szCs w:val="24"/>
        </w:rPr>
        <w:t>3-</w:t>
      </w:r>
      <w:r w:rsidR="006156B7" w:rsidRPr="006156B7">
        <w:rPr>
          <w:rFonts w:ascii="Arial" w:hAnsi="Arial" w:cs="Arial"/>
          <w:sz w:val="24"/>
          <w:szCs w:val="24"/>
        </w:rPr>
        <w:t xml:space="preserve">regular y </w:t>
      </w:r>
      <w:r w:rsidR="006156B7">
        <w:rPr>
          <w:rFonts w:ascii="Arial" w:hAnsi="Arial" w:cs="Arial"/>
          <w:sz w:val="24"/>
          <w:szCs w:val="24"/>
        </w:rPr>
        <w:t>2-</w:t>
      </w:r>
      <w:r w:rsidR="006156B7" w:rsidRPr="006156B7">
        <w:rPr>
          <w:rFonts w:ascii="Arial" w:hAnsi="Arial" w:cs="Arial"/>
          <w:sz w:val="24"/>
          <w:szCs w:val="24"/>
        </w:rPr>
        <w:t>mal</w:t>
      </w:r>
      <w:r w:rsidR="000C4D7B">
        <w:rPr>
          <w:rFonts w:ascii="Arial" w:hAnsi="Arial" w:cs="Arial"/>
          <w:sz w:val="24"/>
          <w:szCs w:val="24"/>
        </w:rPr>
        <w:t xml:space="preserve">). Además, se abordó en el estudio  </w:t>
      </w:r>
      <w:r>
        <w:rPr>
          <w:rFonts w:ascii="Arial" w:hAnsi="Arial" w:cs="Arial"/>
          <w:sz w:val="24"/>
          <w:szCs w:val="24"/>
        </w:rPr>
        <w:t xml:space="preserve"> las principales fortalezas y debilidades</w:t>
      </w:r>
    </w:p>
    <w:p w:rsidR="009D438E" w:rsidRPr="00F70EF8" w:rsidRDefault="009D438E" w:rsidP="009D438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F70EF8">
        <w:rPr>
          <w:rFonts w:ascii="Arial" w:eastAsia="Times New Roman" w:hAnsi="Arial" w:cs="Arial"/>
          <w:sz w:val="24"/>
          <w:szCs w:val="24"/>
          <w:lang w:val="es-ES_tradnl" w:eastAsia="es-ES"/>
        </w:rPr>
        <w:t>La información obtenida fue llevada a una base de datos y procesada en el programa Microsoft Office Excel 2013.</w:t>
      </w:r>
    </w:p>
    <w:p w:rsidR="009D438E" w:rsidRPr="00F70EF8" w:rsidRDefault="009D438E" w:rsidP="009D438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_tradnl" w:eastAsia="es-ES"/>
        </w:rPr>
      </w:pPr>
      <w:r w:rsidRPr="00F70EF8">
        <w:rPr>
          <w:rFonts w:ascii="Arial" w:eastAsia="Calibri" w:hAnsi="Arial" w:cs="Arial"/>
          <w:sz w:val="24"/>
          <w:szCs w:val="24"/>
          <w:lang w:val="es-ES_tradnl" w:eastAsia="es-ES"/>
        </w:rPr>
        <w:t xml:space="preserve">Los resultados se analizaron mediante estadística descriptiva. Se estimaron las prevalencias porcentuales. Las variables cualitativas se resumieron mediante cálculo del número y porciento. Los resultados </w:t>
      </w:r>
      <w:r>
        <w:rPr>
          <w:rFonts w:ascii="Arial" w:eastAsia="Calibri" w:hAnsi="Arial" w:cs="Arial"/>
          <w:sz w:val="24"/>
          <w:szCs w:val="24"/>
          <w:lang w:val="es-ES_tradnl" w:eastAsia="es-ES"/>
        </w:rPr>
        <w:t xml:space="preserve">se presentaron </w:t>
      </w:r>
      <w:r w:rsidRPr="00F70EF8">
        <w:rPr>
          <w:rFonts w:ascii="Arial" w:eastAsia="Calibri" w:hAnsi="Arial" w:cs="Arial"/>
          <w:sz w:val="24"/>
          <w:szCs w:val="24"/>
          <w:lang w:val="es-ES_tradnl" w:eastAsia="es-ES"/>
        </w:rPr>
        <w:t>en tablas para su mejor comprensión.</w:t>
      </w: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04943" w:rsidRDefault="009D438E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RESULTADOS</w:t>
      </w:r>
    </w:p>
    <w:p w:rsidR="002C553E" w:rsidRDefault="002C553E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los tres cursos académicos analizados los mejores resultados se encuentran en la categoría excelente con más del 50 % de las evaluaciones en todos los casos.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4D7B" w:rsidRDefault="000C4D7B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1. </w:t>
      </w:r>
      <w:r w:rsidRPr="000C4D7B">
        <w:rPr>
          <w:rFonts w:ascii="Arial" w:hAnsi="Arial" w:cs="Arial"/>
          <w:sz w:val="24"/>
          <w:szCs w:val="24"/>
        </w:rPr>
        <w:t>Distribución p</w:t>
      </w:r>
      <w:r>
        <w:rPr>
          <w:rFonts w:ascii="Arial" w:hAnsi="Arial" w:cs="Arial"/>
          <w:sz w:val="24"/>
          <w:szCs w:val="24"/>
        </w:rPr>
        <w:t xml:space="preserve">orcentual de evaluaciones frecuentes de la Asignatura Operatoria Técnica </w:t>
      </w:r>
    </w:p>
    <w:p w:rsidR="00991395" w:rsidRPr="000C4D7B" w:rsidRDefault="00991395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36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5"/>
        <w:gridCol w:w="1354"/>
        <w:gridCol w:w="760"/>
        <w:gridCol w:w="658"/>
        <w:gridCol w:w="759"/>
        <w:gridCol w:w="851"/>
        <w:gridCol w:w="709"/>
        <w:gridCol w:w="850"/>
        <w:gridCol w:w="827"/>
        <w:gridCol w:w="732"/>
        <w:gridCol w:w="851"/>
      </w:tblGrid>
      <w:tr w:rsidR="00D10B31" w:rsidRPr="00D10B31" w:rsidTr="00F56CC3">
        <w:trPr>
          <w:trHeight w:val="367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Cursos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Cantidad estudiantes</w:t>
            </w:r>
          </w:p>
        </w:tc>
        <w:tc>
          <w:tcPr>
            <w:tcW w:w="69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Calificaciones</w:t>
            </w:r>
          </w:p>
        </w:tc>
      </w:tr>
      <w:tr w:rsidR="00D10B31" w:rsidRPr="00D10B31" w:rsidTr="00F56CC3">
        <w:trPr>
          <w:trHeight w:val="5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10B31" w:rsidRPr="00D10B31" w:rsidTr="00F56CC3">
        <w:trPr>
          <w:trHeight w:val="5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10B31" w:rsidRPr="00D10B31" w:rsidTr="00F56CC3">
        <w:trPr>
          <w:trHeight w:val="72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52.2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31.9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13.2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288</w:t>
            </w:r>
          </w:p>
        </w:tc>
      </w:tr>
      <w:tr w:rsidR="00D10B31" w:rsidRPr="00D10B31" w:rsidTr="00F56CC3">
        <w:trPr>
          <w:trHeight w:val="367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67.9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17.1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10.9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</w:tr>
      <w:tr w:rsidR="00D10B31" w:rsidRPr="00D10B31" w:rsidTr="00F56CC3">
        <w:trPr>
          <w:trHeight w:val="725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6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0C4D7B" w:rsidRDefault="00EF5701" w:rsidP="000C4D7B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Total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991395">
        <w:rPr>
          <w:rFonts w:ascii="Arial" w:hAnsi="Arial" w:cs="Arial"/>
          <w:b/>
          <w:sz w:val="24"/>
          <w:szCs w:val="24"/>
        </w:rPr>
        <w:t>de evaluaciones frecuentes:16</w:t>
      </w:r>
    </w:p>
    <w:p w:rsidR="00F56CC3" w:rsidRPr="00F56CC3" w:rsidRDefault="00F56CC3" w:rsidP="00F56CC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56CC3">
        <w:rPr>
          <w:rFonts w:ascii="Arial" w:hAnsi="Arial" w:cs="Arial"/>
          <w:sz w:val="24"/>
          <w:szCs w:val="24"/>
        </w:rPr>
        <w:t>La asignatura</w:t>
      </w:r>
      <w:r>
        <w:rPr>
          <w:rFonts w:ascii="Arial" w:hAnsi="Arial" w:cs="Arial"/>
          <w:sz w:val="24"/>
          <w:szCs w:val="24"/>
        </w:rPr>
        <w:t xml:space="preserve"> Operatoria Técnica tiene dos evaluaciones frecuentes en las cuales no hay ningún </w:t>
      </w:r>
      <w:r w:rsidR="004A72F6">
        <w:rPr>
          <w:rFonts w:ascii="Arial" w:hAnsi="Arial" w:cs="Arial"/>
          <w:sz w:val="24"/>
          <w:szCs w:val="24"/>
        </w:rPr>
        <w:t>estudiante suspenso</w:t>
      </w:r>
      <w:r>
        <w:rPr>
          <w:rFonts w:ascii="Arial" w:hAnsi="Arial" w:cs="Arial"/>
          <w:sz w:val="24"/>
          <w:szCs w:val="24"/>
        </w:rPr>
        <w:t xml:space="preserve"> en ninguno de los tres cursos analizados</w:t>
      </w:r>
      <w:r w:rsidR="004A72F6">
        <w:rPr>
          <w:rFonts w:ascii="Arial" w:hAnsi="Arial" w:cs="Arial"/>
          <w:sz w:val="24"/>
          <w:szCs w:val="24"/>
        </w:rPr>
        <w:t>. E</w:t>
      </w:r>
      <w:r>
        <w:rPr>
          <w:rFonts w:ascii="Arial" w:hAnsi="Arial" w:cs="Arial"/>
          <w:sz w:val="24"/>
          <w:szCs w:val="24"/>
        </w:rPr>
        <w:t xml:space="preserve">n todos </w:t>
      </w:r>
      <w:r w:rsidR="004A72F6">
        <w:rPr>
          <w:rFonts w:ascii="Arial" w:hAnsi="Arial" w:cs="Arial"/>
          <w:sz w:val="24"/>
          <w:szCs w:val="24"/>
        </w:rPr>
        <w:t xml:space="preserve">los cursos </w:t>
      </w:r>
      <w:r>
        <w:rPr>
          <w:rFonts w:ascii="Arial" w:hAnsi="Arial" w:cs="Arial"/>
          <w:sz w:val="24"/>
          <w:szCs w:val="24"/>
        </w:rPr>
        <w:t xml:space="preserve">más del 70% </w:t>
      </w:r>
      <w:r w:rsidR="004A72F6">
        <w:rPr>
          <w:rFonts w:ascii="Arial" w:hAnsi="Arial" w:cs="Arial"/>
          <w:sz w:val="24"/>
          <w:szCs w:val="24"/>
        </w:rPr>
        <w:t>de los estudiantes obtuvo calificación de excelente</w:t>
      </w:r>
      <w:r>
        <w:rPr>
          <w:rFonts w:ascii="Arial" w:hAnsi="Arial" w:cs="Arial"/>
          <w:sz w:val="24"/>
          <w:szCs w:val="24"/>
        </w:rPr>
        <w:t xml:space="preserve">, en </w:t>
      </w:r>
      <w:r w:rsidR="004A72F6">
        <w:rPr>
          <w:rFonts w:ascii="Arial" w:hAnsi="Arial" w:cs="Arial"/>
          <w:sz w:val="24"/>
          <w:szCs w:val="24"/>
        </w:rPr>
        <w:t>el curso</w:t>
      </w:r>
      <w:r>
        <w:rPr>
          <w:rFonts w:ascii="Arial" w:hAnsi="Arial" w:cs="Arial"/>
          <w:sz w:val="24"/>
          <w:szCs w:val="24"/>
        </w:rPr>
        <w:t xml:space="preserve"> 2018-2019 el 75%, en el 2019-2020 el 86,7% y en el 2020-2021el </w:t>
      </w:r>
      <w:r w:rsidR="00C913CC">
        <w:rPr>
          <w:rFonts w:ascii="Arial" w:hAnsi="Arial" w:cs="Arial"/>
          <w:sz w:val="24"/>
          <w:szCs w:val="24"/>
        </w:rPr>
        <w:t xml:space="preserve">% </w:t>
      </w:r>
      <w:r w:rsidR="006477F6">
        <w:rPr>
          <w:rFonts w:ascii="Arial" w:hAnsi="Arial" w:cs="Arial"/>
          <w:sz w:val="24"/>
          <w:szCs w:val="24"/>
        </w:rPr>
        <w:t>respectivamente y</w:t>
      </w:r>
      <w:r>
        <w:rPr>
          <w:rFonts w:ascii="Arial" w:hAnsi="Arial" w:cs="Arial"/>
          <w:sz w:val="24"/>
          <w:szCs w:val="24"/>
        </w:rPr>
        <w:t xml:space="preserve"> solo el 8,3% obtuvo </w:t>
      </w:r>
      <w:r w:rsidR="004A72F6">
        <w:rPr>
          <w:rFonts w:ascii="Arial" w:hAnsi="Arial" w:cs="Arial"/>
          <w:sz w:val="24"/>
          <w:szCs w:val="24"/>
        </w:rPr>
        <w:t>calificación de regular en el curso 2018-2019.</w:t>
      </w:r>
    </w:p>
    <w:p w:rsidR="000C4D7B" w:rsidRPr="000C4D7B" w:rsidRDefault="000C4D7B" w:rsidP="000C4D7B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Tabla 2. </w:t>
      </w:r>
      <w:r w:rsidRPr="000C4D7B">
        <w:rPr>
          <w:rFonts w:ascii="Arial" w:hAnsi="Arial" w:cs="Arial"/>
          <w:sz w:val="24"/>
          <w:szCs w:val="24"/>
        </w:rPr>
        <w:t>Distribución p</w:t>
      </w:r>
      <w:r>
        <w:rPr>
          <w:rFonts w:ascii="Arial" w:hAnsi="Arial" w:cs="Arial"/>
          <w:sz w:val="24"/>
          <w:szCs w:val="24"/>
        </w:rPr>
        <w:t xml:space="preserve">orcentual de evaluaciones parciales de la Asignatura Operatoria Técnica </w:t>
      </w:r>
    </w:p>
    <w:p w:rsidR="009D438E" w:rsidRDefault="009D438E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4"/>
        <w:gridCol w:w="1354"/>
        <w:gridCol w:w="627"/>
        <w:gridCol w:w="710"/>
        <w:gridCol w:w="779"/>
        <w:gridCol w:w="862"/>
        <w:gridCol w:w="703"/>
        <w:gridCol w:w="780"/>
        <w:gridCol w:w="627"/>
        <w:gridCol w:w="775"/>
        <w:gridCol w:w="1249"/>
      </w:tblGrid>
      <w:tr w:rsidR="00D10B31" w:rsidRPr="00D10B31" w:rsidTr="000C4D7B">
        <w:trPr>
          <w:trHeight w:val="422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Cursos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Cantidad estudiantes</w:t>
            </w:r>
          </w:p>
        </w:tc>
        <w:tc>
          <w:tcPr>
            <w:tcW w:w="71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Calificaciones</w:t>
            </w:r>
          </w:p>
        </w:tc>
      </w:tr>
      <w:tr w:rsidR="00D10B31" w:rsidRPr="00D10B31" w:rsidTr="000C4D7B">
        <w:trPr>
          <w:trHeight w:val="6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D10B31" w:rsidRPr="00D10B31" w:rsidTr="000C4D7B">
        <w:trPr>
          <w:trHeight w:val="6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D10B31" w:rsidRPr="00D10B31" w:rsidTr="000C4D7B">
        <w:trPr>
          <w:trHeight w:val="83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16.7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8.3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</w:tr>
      <w:tr w:rsidR="00D10B31" w:rsidRPr="00D10B31" w:rsidTr="000C4D7B">
        <w:trPr>
          <w:trHeight w:val="83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86.7</w:t>
            </w: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13.3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D10B31" w:rsidRPr="00D10B31" w:rsidRDefault="00D10B31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0C4D7B" w:rsidRPr="00D10B31" w:rsidTr="006F5455">
        <w:trPr>
          <w:trHeight w:val="834"/>
        </w:trPr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D7B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C4D7B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B22C3A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B22C3A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B22C3A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B22C3A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B22C3A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B22C3A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</w:tcPr>
          <w:p w:rsidR="000C4D7B" w:rsidRPr="00D10B31" w:rsidRDefault="000C4D7B" w:rsidP="000C4D7B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4FD6" w:rsidRDefault="006477F6" w:rsidP="006477F6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de evaluaciones parciales: 2</w:t>
      </w:r>
    </w:p>
    <w:p w:rsidR="00C74FD6" w:rsidRPr="001F6AE5" w:rsidRDefault="00C74FD6" w:rsidP="00B22C3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74FD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analizar la tabla 3 se aprecia que solo un estudiante suspendió el examen ordinario del curso 2018-2019, el cual aprobó en el examen extraordinario, ningún estudiante obtuvo </w:t>
      </w:r>
      <w:proofErr w:type="gramStart"/>
      <w:r>
        <w:rPr>
          <w:rFonts w:ascii="Arial" w:hAnsi="Arial" w:cs="Arial"/>
          <w:sz w:val="24"/>
          <w:szCs w:val="24"/>
        </w:rPr>
        <w:t xml:space="preserve">regular </w:t>
      </w:r>
      <w:r w:rsidR="0093419D">
        <w:rPr>
          <w:rFonts w:ascii="Arial" w:hAnsi="Arial" w:cs="Arial"/>
          <w:sz w:val="24"/>
          <w:szCs w:val="24"/>
        </w:rPr>
        <w:t xml:space="preserve"> en</w:t>
      </w:r>
      <w:proofErr w:type="gramEnd"/>
      <w:r w:rsidR="0093419D">
        <w:rPr>
          <w:rFonts w:ascii="Arial" w:hAnsi="Arial" w:cs="Arial"/>
          <w:sz w:val="24"/>
          <w:szCs w:val="24"/>
        </w:rPr>
        <w:t xml:space="preserve"> todos los cursos analizados</w:t>
      </w:r>
      <w:r w:rsidR="00C913CC">
        <w:rPr>
          <w:rFonts w:ascii="Arial" w:hAnsi="Arial" w:cs="Arial"/>
          <w:sz w:val="24"/>
          <w:szCs w:val="24"/>
        </w:rPr>
        <w:t xml:space="preserve"> y </w:t>
      </w:r>
      <w:r w:rsidR="0093419D">
        <w:rPr>
          <w:rFonts w:ascii="Arial" w:hAnsi="Arial" w:cs="Arial"/>
          <w:sz w:val="24"/>
          <w:szCs w:val="24"/>
        </w:rPr>
        <w:t xml:space="preserve"> más del 70 % obtuvo calificación de excelente.</w:t>
      </w:r>
    </w:p>
    <w:p w:rsidR="00C74FD6" w:rsidRDefault="00C74FD6" w:rsidP="00B22C3A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22C3A" w:rsidRPr="000C4D7B" w:rsidRDefault="00C74FD6" w:rsidP="00B22C3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3</w:t>
      </w:r>
      <w:r w:rsidR="00B22C3A">
        <w:rPr>
          <w:rFonts w:ascii="Arial" w:hAnsi="Arial" w:cs="Arial"/>
          <w:b/>
          <w:sz w:val="24"/>
          <w:szCs w:val="24"/>
        </w:rPr>
        <w:t xml:space="preserve">. </w:t>
      </w:r>
      <w:r w:rsidR="00B22C3A" w:rsidRPr="000C4D7B">
        <w:rPr>
          <w:rFonts w:ascii="Arial" w:hAnsi="Arial" w:cs="Arial"/>
          <w:sz w:val="24"/>
          <w:szCs w:val="24"/>
        </w:rPr>
        <w:t>Distribución p</w:t>
      </w:r>
      <w:r w:rsidR="00B22C3A">
        <w:rPr>
          <w:rFonts w:ascii="Arial" w:hAnsi="Arial" w:cs="Arial"/>
          <w:sz w:val="24"/>
          <w:szCs w:val="24"/>
        </w:rPr>
        <w:t xml:space="preserve">orcentual de </w:t>
      </w:r>
      <w:r w:rsidR="00F56CC3">
        <w:rPr>
          <w:rFonts w:ascii="Arial" w:hAnsi="Arial" w:cs="Arial"/>
          <w:sz w:val="24"/>
          <w:szCs w:val="24"/>
        </w:rPr>
        <w:t>la evaluación</w:t>
      </w:r>
      <w:r w:rsidR="00B22C3A">
        <w:rPr>
          <w:rFonts w:ascii="Arial" w:hAnsi="Arial" w:cs="Arial"/>
          <w:sz w:val="24"/>
          <w:szCs w:val="24"/>
        </w:rPr>
        <w:t xml:space="preserve"> final evaluaciones parciales de la Asignatura Operatoria Técnica </w:t>
      </w:r>
    </w:p>
    <w:p w:rsidR="00B22C3A" w:rsidRDefault="00B22C3A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4"/>
        <w:gridCol w:w="1354"/>
        <w:gridCol w:w="607"/>
        <w:gridCol w:w="694"/>
        <w:gridCol w:w="765"/>
        <w:gridCol w:w="839"/>
        <w:gridCol w:w="686"/>
        <w:gridCol w:w="761"/>
        <w:gridCol w:w="607"/>
        <w:gridCol w:w="766"/>
        <w:gridCol w:w="1224"/>
        <w:gridCol w:w="6"/>
      </w:tblGrid>
      <w:tr w:rsidR="00B22C3A" w:rsidRPr="00B22C3A" w:rsidTr="00B22C3A">
        <w:trPr>
          <w:trHeight w:val="333"/>
        </w:trPr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Cursos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Cantidad estudiantes</w:t>
            </w:r>
          </w:p>
        </w:tc>
        <w:tc>
          <w:tcPr>
            <w:tcW w:w="69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Calificaciones</w:t>
            </w:r>
          </w:p>
        </w:tc>
      </w:tr>
      <w:tr w:rsidR="00B22C3A" w:rsidRPr="00B22C3A" w:rsidTr="00B22C3A">
        <w:trPr>
          <w:trHeight w:val="5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B22C3A" w:rsidRPr="00B22C3A" w:rsidTr="00B22C3A">
        <w:trPr>
          <w:gridAfter w:val="1"/>
          <w:wAfter w:w="6" w:type="dxa"/>
          <w:trHeight w:val="5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B22C3A" w:rsidRPr="00B22C3A" w:rsidTr="00B22C3A">
        <w:trPr>
          <w:gridAfter w:val="1"/>
          <w:wAfter w:w="6" w:type="dxa"/>
          <w:trHeight w:val="706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72.2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22.2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5.5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</w:tr>
      <w:tr w:rsidR="00B22C3A" w:rsidRPr="00B22C3A" w:rsidTr="00B22C3A">
        <w:trPr>
          <w:gridAfter w:val="1"/>
          <w:wAfter w:w="6" w:type="dxa"/>
          <w:trHeight w:val="706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22C3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B22C3A" w:rsidRPr="00B22C3A" w:rsidTr="00B22C3A">
        <w:trPr>
          <w:gridAfter w:val="1"/>
          <w:wAfter w:w="6" w:type="dxa"/>
          <w:trHeight w:val="706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D10B31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10B31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-2021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D10B31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13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-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B22C3A" w:rsidRPr="00B22C3A" w:rsidRDefault="00B22C3A" w:rsidP="00B22C3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2C3A" w:rsidRDefault="00B22C3A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22C3A" w:rsidRPr="00B22C3A" w:rsidRDefault="00B22C3A" w:rsidP="00B22C3A">
      <w:pPr>
        <w:spacing w:after="0" w:line="360" w:lineRule="auto"/>
        <w:ind w:left="720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F6AE5" w:rsidRDefault="001F6AE5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438E" w:rsidRDefault="009D438E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ANALISIS Y DISCUSION DE LOS RESULTADOS</w:t>
      </w:r>
    </w:p>
    <w:p w:rsidR="00C913CC" w:rsidRDefault="00C913CC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analizar los resultados de las evaluaciones frecuentes se ha podido observar que menos del 10% en todos los </w:t>
      </w:r>
      <w:r w:rsidR="002C553E">
        <w:rPr>
          <w:rFonts w:ascii="Arial" w:hAnsi="Arial" w:cs="Arial"/>
          <w:sz w:val="24"/>
          <w:szCs w:val="24"/>
        </w:rPr>
        <w:t>cursos obtuvo</w:t>
      </w:r>
      <w:r>
        <w:rPr>
          <w:rFonts w:ascii="Arial" w:hAnsi="Arial" w:cs="Arial"/>
          <w:sz w:val="24"/>
          <w:szCs w:val="24"/>
        </w:rPr>
        <w:t xml:space="preserve"> calificación </w:t>
      </w:r>
      <w:r w:rsidR="0029380E">
        <w:rPr>
          <w:rFonts w:ascii="Arial" w:hAnsi="Arial" w:cs="Arial"/>
          <w:sz w:val="24"/>
          <w:szCs w:val="24"/>
        </w:rPr>
        <w:t>regular.</w:t>
      </w:r>
    </w:p>
    <w:p w:rsidR="00B721D3" w:rsidRDefault="00B721D3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21D3">
        <w:rPr>
          <w:rFonts w:ascii="Arial" w:hAnsi="Arial" w:cs="Arial"/>
          <w:sz w:val="24"/>
          <w:szCs w:val="24"/>
        </w:rPr>
        <w:t xml:space="preserve">Se concuerda con </w:t>
      </w:r>
      <w:r>
        <w:rPr>
          <w:rFonts w:ascii="Arial" w:hAnsi="Arial" w:cs="Arial"/>
          <w:sz w:val="24"/>
          <w:szCs w:val="24"/>
        </w:rPr>
        <w:t>diversos autores</w:t>
      </w:r>
      <w:r w:rsidR="006477F6">
        <w:rPr>
          <w:rFonts w:ascii="Arial" w:hAnsi="Arial" w:cs="Arial"/>
          <w:sz w:val="24"/>
          <w:szCs w:val="24"/>
          <w:vertAlign w:val="superscript"/>
        </w:rPr>
        <w:t>9</w:t>
      </w:r>
      <w:r>
        <w:rPr>
          <w:rFonts w:ascii="Arial" w:hAnsi="Arial" w:cs="Arial"/>
          <w:sz w:val="24"/>
          <w:szCs w:val="24"/>
        </w:rPr>
        <w:t xml:space="preserve"> los cuales </w:t>
      </w:r>
      <w:r w:rsidRPr="00B721D3">
        <w:rPr>
          <w:rFonts w:ascii="Arial" w:hAnsi="Arial" w:cs="Arial"/>
          <w:sz w:val="24"/>
          <w:szCs w:val="24"/>
        </w:rPr>
        <w:t>expresan que la evaluación sistemática y sistémica del currículo asegura una mayor exigencia en la calidad del profesional en proceso de formación y una mayor excelencia académica; todo lo cual repercute en un incremento en la calidad de los servicios de salud y en la</w:t>
      </w:r>
      <w:r>
        <w:rPr>
          <w:rFonts w:ascii="Arial" w:hAnsi="Arial" w:cs="Arial"/>
          <w:sz w:val="24"/>
          <w:szCs w:val="24"/>
        </w:rPr>
        <w:t xml:space="preserve"> satisfacción de la población</w:t>
      </w:r>
      <w:r w:rsidR="00A35533">
        <w:rPr>
          <w:rFonts w:ascii="Arial" w:hAnsi="Arial" w:cs="Arial"/>
          <w:sz w:val="24"/>
          <w:szCs w:val="24"/>
        </w:rPr>
        <w:t xml:space="preserve"> y con otros autores quienes reportan más del 80% con evaluación excelente en las evaluaciones frecuentes</w:t>
      </w:r>
      <w:r>
        <w:rPr>
          <w:rFonts w:ascii="Arial" w:hAnsi="Arial" w:cs="Arial"/>
          <w:sz w:val="24"/>
          <w:szCs w:val="24"/>
        </w:rPr>
        <w:t>.</w:t>
      </w:r>
      <w:r w:rsidR="00A35533" w:rsidRPr="00A35533">
        <w:rPr>
          <w:rFonts w:ascii="Arial" w:hAnsi="Arial" w:cs="Arial"/>
          <w:sz w:val="24"/>
          <w:szCs w:val="24"/>
          <w:vertAlign w:val="superscript"/>
        </w:rPr>
        <w:t>10</w:t>
      </w:r>
    </w:p>
    <w:p w:rsidR="0018721C" w:rsidRDefault="0029380E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criterio de la autora </w:t>
      </w:r>
      <w:r w:rsidR="0018721C">
        <w:rPr>
          <w:rFonts w:ascii="Arial" w:hAnsi="Arial" w:cs="Arial"/>
          <w:sz w:val="24"/>
          <w:szCs w:val="24"/>
        </w:rPr>
        <w:t>los estudiantes con calificación regular pudieran atribuirse a que esta es la primera asignatura de la cerrera de Estomatología donde comienzan a desarrollar habilidades practicas por lo que a los estudiantes que no tienen habilidades manuales les es más difícil el aprendizaje de las mismas, añadido a esto podemos citar que también hay un porciento de estudiantes cuya mano dominante es la izquierda por lo que deben comenzar a trabajar con la mano no dominante o sea la derecha.</w:t>
      </w:r>
    </w:p>
    <w:p w:rsidR="0018721C" w:rsidRPr="009366DC" w:rsidRDefault="0018721C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Diversos autores </w:t>
      </w:r>
      <w:r w:rsidR="003A5737" w:rsidRPr="003A5737">
        <w:rPr>
          <w:rFonts w:ascii="Arial" w:hAnsi="Arial" w:cs="Arial"/>
          <w:sz w:val="24"/>
          <w:szCs w:val="24"/>
          <w:vertAlign w:val="superscript"/>
        </w:rPr>
        <w:t>11</w:t>
      </w:r>
      <w:r w:rsidR="009366DC">
        <w:rPr>
          <w:rFonts w:ascii="Arial" w:hAnsi="Arial" w:cs="Arial"/>
          <w:sz w:val="24"/>
          <w:szCs w:val="24"/>
          <w:vertAlign w:val="superscript"/>
        </w:rPr>
        <w:t>,12</w:t>
      </w:r>
      <w:r w:rsidR="003A57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el estudio del tema han hecho programas de ejercicios para </w:t>
      </w:r>
      <w:r w:rsidR="009366DC" w:rsidRPr="009366DC">
        <w:rPr>
          <w:rFonts w:ascii="Arial" w:hAnsi="Arial" w:cs="Arial"/>
          <w:sz w:val="24"/>
          <w:szCs w:val="24"/>
        </w:rPr>
        <w:t xml:space="preserve">el desarrollo de las habilidades  manuales </w:t>
      </w:r>
      <w:proofErr w:type="spellStart"/>
      <w:r w:rsidR="009366DC" w:rsidRPr="009366DC">
        <w:rPr>
          <w:rFonts w:ascii="Arial" w:hAnsi="Arial" w:cs="Arial"/>
          <w:sz w:val="24"/>
          <w:szCs w:val="24"/>
        </w:rPr>
        <w:t>asi</w:t>
      </w:r>
      <w:proofErr w:type="spellEnd"/>
      <w:r w:rsidR="009366DC" w:rsidRPr="009366DC">
        <w:rPr>
          <w:rFonts w:ascii="Arial" w:hAnsi="Arial" w:cs="Arial"/>
          <w:sz w:val="24"/>
          <w:szCs w:val="24"/>
        </w:rPr>
        <w:t xml:space="preserve"> como para los estudiantes zurdos que deben aprender a trabajar con la derecha o sea la mano no dominante y de esta forma  los estudiantes puedan adquirir las habilidades de la asignatura con mayor facilidad. </w:t>
      </w:r>
    </w:p>
    <w:p w:rsidR="00704943" w:rsidRDefault="00551B18" w:rsidP="0070494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1B18">
        <w:rPr>
          <w:rFonts w:ascii="Arial" w:hAnsi="Arial" w:cs="Arial"/>
          <w:sz w:val="24"/>
          <w:szCs w:val="24"/>
        </w:rPr>
        <w:t>Dentro de los componentes del proceso enseñanza aprendizaje, la evaluación es el elemento que se encuentra relacionado directamente con cada uno de ellos ya que es la encargada de estimular y medir el alcance de los objetivos a través de un grupo de criterios</w:t>
      </w:r>
      <w:r>
        <w:rPr>
          <w:rFonts w:ascii="Arial" w:hAnsi="Arial" w:cs="Arial"/>
          <w:sz w:val="24"/>
          <w:szCs w:val="24"/>
        </w:rPr>
        <w:t>.</w:t>
      </w:r>
    </w:p>
    <w:p w:rsidR="00B721D3" w:rsidRDefault="00B721D3" w:rsidP="00B721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vertAlign w:val="superscript"/>
        </w:rPr>
      </w:pPr>
      <w:r w:rsidRPr="00B721D3">
        <w:rPr>
          <w:rFonts w:ascii="Arial" w:hAnsi="Arial" w:cs="Arial"/>
          <w:sz w:val="24"/>
          <w:szCs w:val="24"/>
        </w:rPr>
        <w:t xml:space="preserve">Por otra parte, </w:t>
      </w:r>
      <w:r>
        <w:rPr>
          <w:rFonts w:ascii="Arial" w:hAnsi="Arial" w:cs="Arial"/>
          <w:sz w:val="24"/>
          <w:szCs w:val="24"/>
        </w:rPr>
        <w:t xml:space="preserve">se reconoce que la </w:t>
      </w:r>
      <w:r w:rsidRPr="00B721D3">
        <w:rPr>
          <w:rFonts w:ascii="Arial" w:hAnsi="Arial" w:cs="Arial"/>
          <w:sz w:val="24"/>
          <w:szCs w:val="24"/>
        </w:rPr>
        <w:t xml:space="preserve"> </w:t>
      </w:r>
      <w:r w:rsidRPr="00551B18">
        <w:rPr>
          <w:rFonts w:ascii="Arial" w:hAnsi="Arial" w:cs="Arial"/>
          <w:sz w:val="24"/>
          <w:szCs w:val="24"/>
        </w:rPr>
        <w:t>la evaluación es el componente que refleja el estado de todo el proceso: expresa la magnitud y calidad con que se han logrado los objetivos y brinda retroalimentación de la cual se derivan otras funciones importantes como las de diagnosticar, estimular, comprobar, orientar, corregir y cert</w:t>
      </w:r>
      <w:r>
        <w:rPr>
          <w:rFonts w:ascii="Arial" w:hAnsi="Arial" w:cs="Arial"/>
          <w:sz w:val="24"/>
          <w:szCs w:val="24"/>
        </w:rPr>
        <w:t>ificar y constituye</w:t>
      </w:r>
      <w:r w:rsidRPr="00B721D3">
        <w:rPr>
          <w:rFonts w:ascii="Arial" w:hAnsi="Arial" w:cs="Arial"/>
          <w:sz w:val="24"/>
          <w:szCs w:val="24"/>
        </w:rPr>
        <w:t xml:space="preserve"> claves en la preparación metodológica de nuestros </w:t>
      </w:r>
      <w:r w:rsidRPr="00B721D3">
        <w:rPr>
          <w:rFonts w:ascii="Arial" w:hAnsi="Arial" w:cs="Arial"/>
          <w:sz w:val="24"/>
          <w:szCs w:val="24"/>
        </w:rPr>
        <w:lastRenderedPageBreak/>
        <w:t>profesores, al enfrentar la evaluación como proceso sistemático, integral, continuo, rítmico y sistémico.</w:t>
      </w:r>
      <w:r w:rsidR="009366DC">
        <w:rPr>
          <w:rFonts w:ascii="Arial" w:hAnsi="Arial" w:cs="Arial"/>
          <w:sz w:val="24"/>
          <w:szCs w:val="24"/>
          <w:vertAlign w:val="superscript"/>
        </w:rPr>
        <w:t>13</w:t>
      </w:r>
    </w:p>
    <w:p w:rsidR="0018721C" w:rsidRPr="0044258F" w:rsidRDefault="0018721C" w:rsidP="00B721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analizar las evaluaciones </w:t>
      </w:r>
      <w:r w:rsidR="006477F6">
        <w:rPr>
          <w:rFonts w:ascii="Arial" w:hAnsi="Arial" w:cs="Arial"/>
          <w:sz w:val="24"/>
          <w:szCs w:val="24"/>
        </w:rPr>
        <w:t>parciales</w:t>
      </w:r>
      <w:r w:rsidR="0044258F">
        <w:rPr>
          <w:rFonts w:ascii="Arial" w:hAnsi="Arial" w:cs="Arial"/>
          <w:sz w:val="24"/>
          <w:szCs w:val="24"/>
        </w:rPr>
        <w:t xml:space="preserve"> y finales </w:t>
      </w:r>
      <w:r w:rsidR="006477F6">
        <w:rPr>
          <w:rFonts w:ascii="Arial" w:hAnsi="Arial" w:cs="Arial"/>
          <w:sz w:val="24"/>
          <w:szCs w:val="24"/>
        </w:rPr>
        <w:t xml:space="preserve"> </w:t>
      </w:r>
      <w:r w:rsidR="0044258F">
        <w:rPr>
          <w:rFonts w:ascii="Arial" w:hAnsi="Arial" w:cs="Arial"/>
          <w:sz w:val="24"/>
          <w:szCs w:val="24"/>
        </w:rPr>
        <w:t>en los tres cursos estudiados más del 70 % de los estudiantes obtuvo calificación de excelente lo que coincide con diversos autores</w:t>
      </w:r>
      <w:r w:rsidR="00A35533">
        <w:rPr>
          <w:rFonts w:ascii="Arial" w:hAnsi="Arial" w:cs="Arial"/>
          <w:sz w:val="24"/>
          <w:szCs w:val="24"/>
          <w:vertAlign w:val="superscript"/>
        </w:rPr>
        <w:t>10</w:t>
      </w:r>
      <w:r w:rsidR="0044258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4258F">
        <w:rPr>
          <w:rFonts w:ascii="Arial" w:hAnsi="Arial" w:cs="Arial"/>
          <w:sz w:val="24"/>
          <w:szCs w:val="24"/>
        </w:rPr>
        <w:t xml:space="preserve">quienes reportan más del 75% de estudiantes con </w:t>
      </w:r>
      <w:r w:rsidR="00A35533">
        <w:rPr>
          <w:rFonts w:ascii="Arial" w:hAnsi="Arial" w:cs="Arial"/>
          <w:sz w:val="24"/>
          <w:szCs w:val="24"/>
        </w:rPr>
        <w:t xml:space="preserve">calificación </w:t>
      </w:r>
      <w:r w:rsidR="0044258F">
        <w:rPr>
          <w:rFonts w:ascii="Arial" w:hAnsi="Arial" w:cs="Arial"/>
          <w:sz w:val="24"/>
          <w:szCs w:val="24"/>
        </w:rPr>
        <w:t>excelente</w:t>
      </w:r>
      <w:r w:rsidR="00A35533">
        <w:rPr>
          <w:rFonts w:ascii="Arial" w:hAnsi="Arial" w:cs="Arial"/>
          <w:sz w:val="24"/>
          <w:szCs w:val="24"/>
        </w:rPr>
        <w:t xml:space="preserve"> en el examen ordinario</w:t>
      </w:r>
    </w:p>
    <w:p w:rsidR="00B721D3" w:rsidRDefault="00551B18" w:rsidP="00B721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51B18">
        <w:rPr>
          <w:rFonts w:ascii="Arial" w:hAnsi="Arial" w:cs="Arial"/>
          <w:sz w:val="24"/>
          <w:szCs w:val="24"/>
        </w:rPr>
        <w:t>En cada etapa del proceso docente educativo tanto las formas como los métodos pueden variar</w:t>
      </w:r>
      <w:r w:rsidR="00B721D3">
        <w:rPr>
          <w:rFonts w:ascii="Arial" w:hAnsi="Arial" w:cs="Arial"/>
          <w:sz w:val="24"/>
          <w:szCs w:val="24"/>
        </w:rPr>
        <w:t xml:space="preserve">, tal es el caso de los dos últimos cursos académicos analizados en los cuales gran parte del contenido se impartió de manera virtual, </w:t>
      </w:r>
      <w:proofErr w:type="gramStart"/>
      <w:r w:rsidR="00B721D3">
        <w:rPr>
          <w:rFonts w:ascii="Arial" w:hAnsi="Arial" w:cs="Arial"/>
          <w:sz w:val="24"/>
          <w:szCs w:val="24"/>
        </w:rPr>
        <w:t>que</w:t>
      </w:r>
      <w:proofErr w:type="gramEnd"/>
      <w:r w:rsidR="00B721D3">
        <w:rPr>
          <w:rFonts w:ascii="Arial" w:hAnsi="Arial" w:cs="Arial"/>
          <w:sz w:val="24"/>
          <w:szCs w:val="24"/>
        </w:rPr>
        <w:t xml:space="preserve"> aunque hace años se estaba utilizando gran parte de los profesionales </w:t>
      </w:r>
      <w:r w:rsidR="0045622E">
        <w:rPr>
          <w:rFonts w:ascii="Arial" w:hAnsi="Arial" w:cs="Arial"/>
          <w:sz w:val="24"/>
          <w:szCs w:val="24"/>
        </w:rPr>
        <w:t>aun no lo dominaban</w:t>
      </w:r>
      <w:r w:rsidR="00B721D3">
        <w:rPr>
          <w:rFonts w:ascii="Arial" w:hAnsi="Arial" w:cs="Arial"/>
          <w:sz w:val="24"/>
          <w:szCs w:val="24"/>
        </w:rPr>
        <w:t>.</w:t>
      </w:r>
    </w:p>
    <w:p w:rsidR="00551B18" w:rsidRDefault="00B721D3" w:rsidP="00B721D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21D3">
        <w:rPr>
          <w:rFonts w:ascii="Arial" w:hAnsi="Arial" w:cs="Arial"/>
          <w:sz w:val="24"/>
          <w:szCs w:val="24"/>
        </w:rPr>
        <w:t>La implementación de cursos virtuales</w:t>
      </w:r>
      <w:r w:rsidR="0045622E" w:rsidRPr="0045622E">
        <w:rPr>
          <w:rFonts w:ascii="Arial" w:hAnsi="Arial" w:cs="Arial"/>
          <w:sz w:val="24"/>
          <w:szCs w:val="24"/>
        </w:rPr>
        <w:t xml:space="preserve"> </w:t>
      </w:r>
      <w:r w:rsidR="0045622E" w:rsidRPr="00B721D3">
        <w:rPr>
          <w:rFonts w:ascii="Arial" w:hAnsi="Arial" w:cs="Arial"/>
          <w:sz w:val="24"/>
          <w:szCs w:val="24"/>
        </w:rPr>
        <w:t>en platafo</w:t>
      </w:r>
      <w:r w:rsidR="0045622E">
        <w:rPr>
          <w:rFonts w:ascii="Arial" w:hAnsi="Arial" w:cs="Arial"/>
          <w:sz w:val="24"/>
          <w:szCs w:val="24"/>
        </w:rPr>
        <w:t>rmas de aprendizaje</w:t>
      </w:r>
      <w:r w:rsidRPr="00B721D3">
        <w:rPr>
          <w:rFonts w:ascii="Arial" w:hAnsi="Arial" w:cs="Arial"/>
          <w:sz w:val="24"/>
          <w:szCs w:val="24"/>
        </w:rPr>
        <w:t xml:space="preserve"> </w:t>
      </w:r>
      <w:r w:rsidR="0045622E">
        <w:rPr>
          <w:rFonts w:ascii="Arial" w:hAnsi="Arial" w:cs="Arial"/>
          <w:sz w:val="24"/>
          <w:szCs w:val="24"/>
        </w:rPr>
        <w:t xml:space="preserve">durante la pandemia de COVID-19 hizo que se </w:t>
      </w:r>
      <w:r w:rsidRPr="00B721D3">
        <w:rPr>
          <w:rFonts w:ascii="Arial" w:hAnsi="Arial" w:cs="Arial"/>
          <w:sz w:val="24"/>
          <w:szCs w:val="24"/>
        </w:rPr>
        <w:t xml:space="preserve"> incrementar</w:t>
      </w:r>
      <w:r w:rsidR="0045622E">
        <w:rPr>
          <w:rFonts w:ascii="Arial" w:hAnsi="Arial" w:cs="Arial"/>
          <w:sz w:val="24"/>
          <w:szCs w:val="24"/>
        </w:rPr>
        <w:t>a</w:t>
      </w:r>
      <w:r w:rsidRPr="00B721D3">
        <w:rPr>
          <w:rFonts w:ascii="Arial" w:hAnsi="Arial" w:cs="Arial"/>
          <w:sz w:val="24"/>
          <w:szCs w:val="24"/>
        </w:rPr>
        <w:t xml:space="preserve"> la formación del prof</w:t>
      </w:r>
      <w:r w:rsidR="0045622E">
        <w:rPr>
          <w:rFonts w:ascii="Arial" w:hAnsi="Arial" w:cs="Arial"/>
          <w:sz w:val="24"/>
          <w:szCs w:val="24"/>
        </w:rPr>
        <w:t xml:space="preserve">esorado acerca de los medios y </w:t>
      </w:r>
      <w:r w:rsidRPr="00B721D3">
        <w:rPr>
          <w:rFonts w:ascii="Arial" w:hAnsi="Arial" w:cs="Arial"/>
          <w:sz w:val="24"/>
          <w:szCs w:val="24"/>
        </w:rPr>
        <w:t>las nuevas tecnologías en la enseñanza, específica</w:t>
      </w:r>
      <w:r w:rsidR="0045622E">
        <w:rPr>
          <w:rFonts w:ascii="Arial" w:hAnsi="Arial" w:cs="Arial"/>
          <w:sz w:val="24"/>
          <w:szCs w:val="24"/>
        </w:rPr>
        <w:t xml:space="preserve">mente en su figura como “tutor virtual”, con lo que se hace necesario </w:t>
      </w:r>
      <w:r w:rsidRPr="00B721D3">
        <w:rPr>
          <w:rFonts w:ascii="Arial" w:hAnsi="Arial" w:cs="Arial"/>
          <w:sz w:val="24"/>
          <w:szCs w:val="24"/>
        </w:rPr>
        <w:t>mantene</w:t>
      </w:r>
      <w:r w:rsidR="0045622E">
        <w:rPr>
          <w:rFonts w:ascii="Arial" w:hAnsi="Arial" w:cs="Arial"/>
          <w:sz w:val="24"/>
          <w:szCs w:val="24"/>
        </w:rPr>
        <w:t xml:space="preserve">r la comunicación continua con </w:t>
      </w:r>
      <w:r w:rsidRPr="00B721D3">
        <w:rPr>
          <w:rFonts w:ascii="Arial" w:hAnsi="Arial" w:cs="Arial"/>
          <w:sz w:val="24"/>
          <w:szCs w:val="24"/>
        </w:rPr>
        <w:t>sus estudiantes en ambientes virtuales, elaborar me</w:t>
      </w:r>
      <w:r w:rsidR="0045622E">
        <w:rPr>
          <w:rFonts w:ascii="Arial" w:hAnsi="Arial" w:cs="Arial"/>
          <w:sz w:val="24"/>
          <w:szCs w:val="24"/>
        </w:rPr>
        <w:t xml:space="preserve">dios y recursos didácticos que </w:t>
      </w:r>
      <w:r w:rsidRPr="00B721D3">
        <w:rPr>
          <w:rFonts w:ascii="Arial" w:hAnsi="Arial" w:cs="Arial"/>
          <w:sz w:val="24"/>
          <w:szCs w:val="24"/>
        </w:rPr>
        <w:t>los motiven a investigar colaborativamente y, a su</w:t>
      </w:r>
      <w:r w:rsidR="0045622E">
        <w:rPr>
          <w:rFonts w:ascii="Arial" w:hAnsi="Arial" w:cs="Arial"/>
          <w:sz w:val="24"/>
          <w:szCs w:val="24"/>
        </w:rPr>
        <w:t xml:space="preserve"> vez, retroalimentarse con los </w:t>
      </w:r>
      <w:r w:rsidRPr="00B721D3">
        <w:rPr>
          <w:rFonts w:ascii="Arial" w:hAnsi="Arial" w:cs="Arial"/>
          <w:sz w:val="24"/>
          <w:szCs w:val="24"/>
        </w:rPr>
        <w:t>resultados emanados por ellos como sistema de</w:t>
      </w:r>
      <w:r w:rsidR="0045622E">
        <w:rPr>
          <w:rFonts w:ascii="Arial" w:hAnsi="Arial" w:cs="Arial"/>
          <w:sz w:val="24"/>
          <w:szCs w:val="24"/>
        </w:rPr>
        <w:t xml:space="preserve"> evaluación del proceso. Estos </w:t>
      </w:r>
      <w:r w:rsidRPr="00B721D3">
        <w:rPr>
          <w:rFonts w:ascii="Arial" w:hAnsi="Arial" w:cs="Arial"/>
          <w:sz w:val="24"/>
          <w:szCs w:val="24"/>
        </w:rPr>
        <w:t>elementos –fundamentales durante la etapa de c</w:t>
      </w:r>
      <w:r w:rsidR="0045622E">
        <w:rPr>
          <w:rFonts w:ascii="Arial" w:hAnsi="Arial" w:cs="Arial"/>
          <w:sz w:val="24"/>
          <w:szCs w:val="24"/>
        </w:rPr>
        <w:t xml:space="preserve">onfinamiento– se describen por </w:t>
      </w:r>
      <w:r w:rsidRPr="00B721D3">
        <w:rPr>
          <w:rFonts w:ascii="Arial" w:hAnsi="Arial" w:cs="Arial"/>
          <w:sz w:val="24"/>
          <w:szCs w:val="24"/>
        </w:rPr>
        <w:t>a</w:t>
      </w:r>
      <w:r w:rsidR="0045622E">
        <w:rPr>
          <w:rFonts w:ascii="Arial" w:hAnsi="Arial" w:cs="Arial"/>
          <w:sz w:val="24"/>
          <w:szCs w:val="24"/>
        </w:rPr>
        <w:t>utores de las ciencias médicas.</w:t>
      </w:r>
      <w:r w:rsidR="006477F6">
        <w:rPr>
          <w:rFonts w:ascii="Arial" w:hAnsi="Arial" w:cs="Arial"/>
          <w:sz w:val="24"/>
          <w:szCs w:val="24"/>
          <w:vertAlign w:val="superscript"/>
        </w:rPr>
        <w:t>1</w:t>
      </w:r>
      <w:r w:rsidR="009366DC">
        <w:rPr>
          <w:rFonts w:ascii="Arial" w:hAnsi="Arial" w:cs="Arial"/>
          <w:sz w:val="24"/>
          <w:szCs w:val="24"/>
          <w:vertAlign w:val="superscript"/>
        </w:rPr>
        <w:t>4</w:t>
      </w:r>
      <w:r w:rsidR="003A5737">
        <w:rPr>
          <w:rFonts w:ascii="Arial" w:hAnsi="Arial" w:cs="Arial"/>
          <w:sz w:val="24"/>
          <w:szCs w:val="24"/>
          <w:vertAlign w:val="superscript"/>
        </w:rPr>
        <w:t>-1</w:t>
      </w:r>
      <w:r w:rsidR="009366DC">
        <w:rPr>
          <w:rFonts w:ascii="Arial" w:hAnsi="Arial" w:cs="Arial"/>
          <w:sz w:val="24"/>
          <w:szCs w:val="24"/>
          <w:vertAlign w:val="superscript"/>
        </w:rPr>
        <w:t>6</w:t>
      </w:r>
      <w:r w:rsidR="0045622E">
        <w:rPr>
          <w:rFonts w:ascii="Arial" w:hAnsi="Arial" w:cs="Arial"/>
          <w:sz w:val="24"/>
          <w:szCs w:val="24"/>
          <w:vertAlign w:val="superscript"/>
        </w:rPr>
        <w:t>.</w:t>
      </w:r>
      <w:r w:rsidR="00551B18" w:rsidRPr="00551B18">
        <w:rPr>
          <w:rFonts w:ascii="Arial" w:hAnsi="Arial" w:cs="Arial"/>
          <w:sz w:val="24"/>
          <w:szCs w:val="24"/>
        </w:rPr>
        <w:t xml:space="preserve"> </w:t>
      </w:r>
    </w:p>
    <w:p w:rsidR="00B22C3A" w:rsidRPr="00B22C3A" w:rsidRDefault="00B22C3A" w:rsidP="00B22C3A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22C3A">
        <w:rPr>
          <w:rFonts w:ascii="Arial" w:hAnsi="Arial" w:cs="Arial"/>
          <w:b/>
          <w:sz w:val="24"/>
          <w:szCs w:val="24"/>
        </w:rPr>
        <w:t xml:space="preserve">Fortalezas </w:t>
      </w:r>
    </w:p>
    <w:p w:rsidR="00B22C3A" w:rsidRPr="00B22C3A" w:rsidRDefault="00B22C3A" w:rsidP="00B22C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t>Cada estudiante tiene un simulador</w:t>
      </w:r>
      <w:r w:rsidR="007C34C9">
        <w:rPr>
          <w:rFonts w:ascii="Arial" w:hAnsi="Arial" w:cs="Arial"/>
          <w:sz w:val="24"/>
          <w:szCs w:val="24"/>
        </w:rPr>
        <w:t xml:space="preserve"> para trabajar individualmente.</w:t>
      </w:r>
    </w:p>
    <w:p w:rsidR="00B22C3A" w:rsidRDefault="00B22C3A" w:rsidP="00B22C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t xml:space="preserve">Comienzan a trabajar con velocidad convencional para después trabajar con </w:t>
      </w:r>
      <w:proofErr w:type="spellStart"/>
      <w:r w:rsidRPr="00B22C3A">
        <w:rPr>
          <w:rFonts w:ascii="Arial" w:hAnsi="Arial" w:cs="Arial"/>
          <w:sz w:val="24"/>
          <w:szCs w:val="24"/>
        </w:rPr>
        <w:t>aerotor</w:t>
      </w:r>
      <w:proofErr w:type="spellEnd"/>
      <w:r w:rsidRPr="00B22C3A">
        <w:rPr>
          <w:rFonts w:ascii="Arial" w:hAnsi="Arial" w:cs="Arial"/>
          <w:sz w:val="24"/>
          <w:szCs w:val="24"/>
        </w:rPr>
        <w:t>.</w:t>
      </w:r>
    </w:p>
    <w:p w:rsidR="007C34C9" w:rsidRPr="007C34C9" w:rsidRDefault="007C34C9" w:rsidP="00B22C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Cuentan con todo el instrumental necesario para la preparación y restauración de cavidades.</w:t>
      </w:r>
    </w:p>
    <w:p w:rsidR="007C34C9" w:rsidRPr="007C34C9" w:rsidRDefault="007C34C9" w:rsidP="007C34C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t>Hay distanciamiento físico pues el escenario docente es amplio</w:t>
      </w:r>
      <w:r>
        <w:rPr>
          <w:rFonts w:ascii="Arial" w:hAnsi="Arial" w:cs="Arial"/>
          <w:sz w:val="24"/>
          <w:szCs w:val="24"/>
        </w:rPr>
        <w:t>.</w:t>
      </w:r>
    </w:p>
    <w:p w:rsidR="007C34C9" w:rsidRPr="00B22C3A" w:rsidRDefault="007C34C9" w:rsidP="00B22C3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:rsidR="00B22C3A" w:rsidRPr="00B22C3A" w:rsidRDefault="00B22C3A" w:rsidP="00A3553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22C3A">
        <w:rPr>
          <w:rFonts w:ascii="Arial" w:hAnsi="Arial" w:cs="Arial"/>
          <w:b/>
          <w:sz w:val="24"/>
          <w:szCs w:val="24"/>
        </w:rPr>
        <w:t>Debilidades</w:t>
      </w:r>
    </w:p>
    <w:p w:rsidR="00E9248B" w:rsidRPr="00B22C3A" w:rsidRDefault="00B22C3A" w:rsidP="00B22C3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lastRenderedPageBreak/>
        <w:t>Un solo profesor para un grupo grande de estudiantes no permite la atención individualizada</w:t>
      </w:r>
      <w:r w:rsidR="00A35533">
        <w:rPr>
          <w:rFonts w:ascii="Arial" w:hAnsi="Arial" w:cs="Arial"/>
          <w:sz w:val="24"/>
          <w:szCs w:val="24"/>
        </w:rPr>
        <w:t xml:space="preserve"> </w:t>
      </w:r>
      <w:r w:rsidRPr="00B22C3A">
        <w:rPr>
          <w:rFonts w:ascii="Arial" w:hAnsi="Arial" w:cs="Arial"/>
          <w:sz w:val="24"/>
          <w:szCs w:val="24"/>
        </w:rPr>
        <w:t>(Se sugiere como mínimo 1 profesor por cada 5 estudiantes)</w:t>
      </w:r>
    </w:p>
    <w:p w:rsidR="00E9248B" w:rsidRPr="00B22C3A" w:rsidRDefault="00B22C3A" w:rsidP="00B22C3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t>La falta de algunos materiales como el Hidróxido de calcio</w:t>
      </w:r>
      <w:r w:rsidR="007C34C9">
        <w:rPr>
          <w:rFonts w:ascii="Arial" w:hAnsi="Arial" w:cs="Arial"/>
          <w:sz w:val="24"/>
          <w:szCs w:val="24"/>
        </w:rPr>
        <w:t xml:space="preserve"> </w:t>
      </w:r>
      <w:r w:rsidR="00A35533">
        <w:rPr>
          <w:rFonts w:ascii="Arial" w:hAnsi="Arial" w:cs="Arial"/>
          <w:sz w:val="24"/>
          <w:szCs w:val="24"/>
        </w:rPr>
        <w:t xml:space="preserve">y </w:t>
      </w:r>
      <w:r w:rsidRPr="00B22C3A">
        <w:rPr>
          <w:rFonts w:ascii="Arial" w:hAnsi="Arial" w:cs="Arial"/>
          <w:sz w:val="24"/>
          <w:szCs w:val="24"/>
        </w:rPr>
        <w:t xml:space="preserve"> </w:t>
      </w:r>
      <w:r w:rsidR="00A35533" w:rsidRPr="00B22C3A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A35533" w:rsidRPr="00B22C3A">
        <w:rPr>
          <w:rFonts w:ascii="Arial" w:hAnsi="Arial" w:cs="Arial"/>
          <w:sz w:val="24"/>
          <w:szCs w:val="24"/>
        </w:rPr>
        <w:t>ionómero</w:t>
      </w:r>
      <w:proofErr w:type="spellEnd"/>
      <w:r w:rsidR="00A35533" w:rsidRPr="00B22C3A">
        <w:rPr>
          <w:rFonts w:ascii="Arial" w:hAnsi="Arial" w:cs="Arial"/>
          <w:sz w:val="24"/>
          <w:szCs w:val="24"/>
        </w:rPr>
        <w:t xml:space="preserve"> de vidrio </w:t>
      </w:r>
      <w:r w:rsidRPr="00B22C3A">
        <w:rPr>
          <w:rFonts w:ascii="Arial" w:hAnsi="Arial" w:cs="Arial"/>
          <w:sz w:val="24"/>
          <w:szCs w:val="24"/>
        </w:rPr>
        <w:t xml:space="preserve">(2 cursos) </w:t>
      </w:r>
    </w:p>
    <w:p w:rsidR="00B22C3A" w:rsidRPr="00B22C3A" w:rsidRDefault="00B22C3A" w:rsidP="00A3553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22C3A">
        <w:rPr>
          <w:rFonts w:ascii="Arial" w:hAnsi="Arial" w:cs="Arial"/>
          <w:b/>
          <w:sz w:val="24"/>
          <w:szCs w:val="24"/>
        </w:rPr>
        <w:t>Sugerencias para la asignatura</w:t>
      </w:r>
    </w:p>
    <w:p w:rsidR="00E9248B" w:rsidRPr="00B22C3A" w:rsidRDefault="00B22C3A" w:rsidP="00B22C3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t xml:space="preserve">Proponer un programa de ejercicios físicos en la mano no dominante </w:t>
      </w:r>
      <w:r w:rsidR="00A35533" w:rsidRPr="00B22C3A">
        <w:rPr>
          <w:rFonts w:ascii="Arial" w:hAnsi="Arial" w:cs="Arial"/>
          <w:sz w:val="24"/>
          <w:szCs w:val="24"/>
        </w:rPr>
        <w:t>(estudiantes</w:t>
      </w:r>
      <w:r w:rsidRPr="00B22C3A">
        <w:rPr>
          <w:rFonts w:ascii="Arial" w:hAnsi="Arial" w:cs="Arial"/>
          <w:sz w:val="24"/>
          <w:szCs w:val="24"/>
        </w:rPr>
        <w:t xml:space="preserve"> </w:t>
      </w:r>
      <w:r w:rsidR="007C34C9" w:rsidRPr="00B22C3A">
        <w:rPr>
          <w:rFonts w:ascii="Arial" w:hAnsi="Arial" w:cs="Arial"/>
          <w:sz w:val="24"/>
          <w:szCs w:val="24"/>
        </w:rPr>
        <w:t>zurdos)</w:t>
      </w:r>
      <w:r w:rsidRPr="00B22C3A">
        <w:rPr>
          <w:rFonts w:ascii="Arial" w:hAnsi="Arial" w:cs="Arial"/>
          <w:sz w:val="24"/>
          <w:szCs w:val="24"/>
        </w:rPr>
        <w:t xml:space="preserve"> que contribuyan al aprendizaje de movimientos y faciliten la formación de habilidades prácticas   de los estudiantes</w:t>
      </w:r>
      <w:r w:rsidR="007C34C9">
        <w:rPr>
          <w:rFonts w:ascii="Arial" w:hAnsi="Arial" w:cs="Arial"/>
          <w:sz w:val="24"/>
          <w:szCs w:val="24"/>
        </w:rPr>
        <w:t>.</w:t>
      </w:r>
    </w:p>
    <w:p w:rsidR="00E9248B" w:rsidRPr="00B22C3A" w:rsidRDefault="00B22C3A" w:rsidP="00B22C3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  <w:r w:rsidRPr="00B22C3A">
        <w:rPr>
          <w:rFonts w:ascii="Arial" w:hAnsi="Arial" w:cs="Arial"/>
          <w:sz w:val="24"/>
          <w:szCs w:val="24"/>
        </w:rPr>
        <w:t xml:space="preserve">Preparar a otro profesor </w:t>
      </w:r>
      <w:r w:rsidR="007C34C9">
        <w:rPr>
          <w:rFonts w:ascii="Arial" w:hAnsi="Arial" w:cs="Arial"/>
          <w:sz w:val="24"/>
          <w:szCs w:val="24"/>
        </w:rPr>
        <w:t>para el mejor desempeño de la asignatura</w:t>
      </w:r>
    </w:p>
    <w:p w:rsidR="00B22C3A" w:rsidRPr="00A35533" w:rsidRDefault="007C34C9" w:rsidP="00A3553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Se concluye la calificación que predomino en las evaluaciones frecuentes y parciales en</w:t>
      </w:r>
      <w:r w:rsidR="00A35533">
        <w:rPr>
          <w:rFonts w:ascii="Arial" w:hAnsi="Arial" w:cs="Arial"/>
          <w:sz w:val="24"/>
          <w:szCs w:val="24"/>
        </w:rPr>
        <w:t xml:space="preserve"> los estudiantes </w:t>
      </w:r>
      <w:r>
        <w:rPr>
          <w:rFonts w:ascii="Arial" w:hAnsi="Arial" w:cs="Arial"/>
          <w:sz w:val="24"/>
          <w:szCs w:val="24"/>
        </w:rPr>
        <w:t xml:space="preserve">fue la de </w:t>
      </w:r>
      <w:proofErr w:type="gramStart"/>
      <w:r>
        <w:rPr>
          <w:rFonts w:ascii="Arial" w:hAnsi="Arial" w:cs="Arial"/>
          <w:sz w:val="24"/>
          <w:szCs w:val="24"/>
        </w:rPr>
        <w:t>excelente .</w:t>
      </w:r>
      <w:proofErr w:type="gramEnd"/>
      <w:r>
        <w:rPr>
          <w:rFonts w:ascii="Arial" w:hAnsi="Arial" w:cs="Arial"/>
          <w:sz w:val="24"/>
          <w:szCs w:val="24"/>
        </w:rPr>
        <w:t xml:space="preserve">  La calificación más frecuente en los exámenes finales fue la de excelente  con más del 70% en todos los cursos.</w:t>
      </w:r>
    </w:p>
    <w:p w:rsidR="00704943" w:rsidRPr="00561389" w:rsidRDefault="00704943" w:rsidP="007049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4C3EB4" w:rsidRDefault="004C3EB4" w:rsidP="004C3EB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REFERENCIAS BIBLIOGRAFICAS</w:t>
      </w:r>
    </w:p>
    <w:p w:rsidR="004C3EB4" w:rsidRDefault="004C3EB4" w:rsidP="004C3EB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3EB4">
        <w:rPr>
          <w:rFonts w:ascii="Arial" w:hAnsi="Arial" w:cs="Arial"/>
          <w:sz w:val="24"/>
          <w:szCs w:val="24"/>
        </w:rPr>
        <w:t xml:space="preserve">Salas Perea RS, Salas </w:t>
      </w:r>
      <w:proofErr w:type="spellStart"/>
      <w:r w:rsidRPr="004C3EB4">
        <w:rPr>
          <w:rFonts w:ascii="Arial" w:hAnsi="Arial" w:cs="Arial"/>
          <w:sz w:val="24"/>
          <w:szCs w:val="24"/>
        </w:rPr>
        <w:t>Mainegra</w:t>
      </w:r>
      <w:proofErr w:type="spellEnd"/>
      <w:r w:rsidRPr="004C3EB4">
        <w:rPr>
          <w:rFonts w:ascii="Arial" w:hAnsi="Arial" w:cs="Arial"/>
          <w:sz w:val="24"/>
          <w:szCs w:val="24"/>
        </w:rPr>
        <w:t xml:space="preserve"> A. Evaluación para el aprendizaje en Ciencias de </w:t>
      </w:r>
      <w:r>
        <w:rPr>
          <w:rFonts w:ascii="Arial" w:hAnsi="Arial" w:cs="Arial"/>
          <w:sz w:val="24"/>
          <w:szCs w:val="24"/>
        </w:rPr>
        <w:t xml:space="preserve"> </w:t>
      </w:r>
      <w:r w:rsidRPr="004C3EB4">
        <w:rPr>
          <w:rFonts w:ascii="Arial" w:hAnsi="Arial" w:cs="Arial"/>
          <w:sz w:val="24"/>
          <w:szCs w:val="24"/>
        </w:rPr>
        <w:t xml:space="preserve">la Salud. La Habana: Editorial Ciencias Médicas; 2018 [acceso 22/11/2019]. Disponible en: </w:t>
      </w:r>
      <w:hyperlink r:id="rId9" w:history="1">
        <w:r w:rsidRPr="004C3EB4">
          <w:rPr>
            <w:rStyle w:val="Hipervnculo"/>
            <w:rFonts w:ascii="Arial" w:hAnsi="Arial" w:cs="Arial"/>
            <w:sz w:val="24"/>
            <w:szCs w:val="24"/>
          </w:rPr>
          <w:t>http://www.bvscuba.sld.cu/libro/evaluacion-para-el-aprendizajeen-ciencias-de-la-salud/</w:t>
        </w:r>
      </w:hyperlink>
    </w:p>
    <w:p w:rsidR="004C3EB4" w:rsidRPr="00B463B2" w:rsidRDefault="00B463B2" w:rsidP="00B463B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463B2">
        <w:rPr>
          <w:rFonts w:ascii="Arial" w:hAnsi="Arial" w:cs="Arial"/>
          <w:sz w:val="24"/>
          <w:szCs w:val="24"/>
        </w:rPr>
        <w:t xml:space="preserve">Jacinto Hernández L, Hernández Cabrera G, </w:t>
      </w:r>
      <w:proofErr w:type="spellStart"/>
      <w:r w:rsidRPr="00B463B2">
        <w:rPr>
          <w:rFonts w:ascii="Arial" w:hAnsi="Arial" w:cs="Arial"/>
          <w:sz w:val="24"/>
          <w:szCs w:val="24"/>
        </w:rPr>
        <w:t>Artiles</w:t>
      </w:r>
      <w:proofErr w:type="spellEnd"/>
      <w:r w:rsidRPr="00B463B2">
        <w:rPr>
          <w:rFonts w:ascii="Arial" w:hAnsi="Arial" w:cs="Arial"/>
          <w:sz w:val="24"/>
          <w:szCs w:val="24"/>
        </w:rPr>
        <w:t xml:space="preserve"> Duarte Ll, Jaime Valdés LM, Pérez Rodríguez T. Guía metodológica para la observación y calificación del examen práctico estatal de Medicina. </w:t>
      </w:r>
      <w:proofErr w:type="spellStart"/>
      <w:r w:rsidRPr="00B463B2">
        <w:rPr>
          <w:rFonts w:ascii="Arial" w:hAnsi="Arial" w:cs="Arial"/>
          <w:sz w:val="24"/>
          <w:szCs w:val="24"/>
        </w:rPr>
        <w:t>Edumecentro</w:t>
      </w:r>
      <w:proofErr w:type="spellEnd"/>
      <w:r w:rsidRPr="00B463B2">
        <w:rPr>
          <w:rFonts w:ascii="Arial" w:hAnsi="Arial" w:cs="Arial"/>
          <w:sz w:val="24"/>
          <w:szCs w:val="24"/>
        </w:rPr>
        <w:t xml:space="preserve">. 2016 [citado 7 abr 2017]; 8(4). Disponible en </w:t>
      </w:r>
      <w:hyperlink r:id="rId10" w:history="1">
        <w:r w:rsidRPr="00B463B2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http://scielo.sld.cu/scielo.php?script=sci_arttext&amp;pid=S2077-28742016000700008</w:t>
        </w:r>
      </w:hyperlink>
    </w:p>
    <w:p w:rsidR="00B463B2" w:rsidRDefault="00971036" w:rsidP="009710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1036">
        <w:rPr>
          <w:rFonts w:ascii="Arial" w:hAnsi="Arial" w:cs="Arial"/>
          <w:sz w:val="24"/>
          <w:szCs w:val="24"/>
        </w:rPr>
        <w:t>Ministerio de Salud Pública. Reglamento del trabajo docente y metodológico. Resolución Ministerial no. 2/2018. La Habana: MINSAP; 2018.</w:t>
      </w:r>
    </w:p>
    <w:p w:rsidR="006477F6" w:rsidRPr="006477F6" w:rsidRDefault="006477F6" w:rsidP="006477F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477F6">
        <w:rPr>
          <w:rFonts w:ascii="Arial" w:hAnsi="Arial" w:cs="Arial"/>
          <w:sz w:val="24"/>
          <w:szCs w:val="24"/>
        </w:rPr>
        <w:t xml:space="preserve">Chávez-Vega R, Rodríguez-Méndez A. Aplicación de la teoría clásica de test a la evaluación de preguntas de opción múltiple. Educación Médica </w:t>
      </w:r>
      <w:r w:rsidRPr="006477F6">
        <w:rPr>
          <w:rFonts w:ascii="Arial" w:hAnsi="Arial" w:cs="Arial"/>
          <w:sz w:val="24"/>
          <w:szCs w:val="24"/>
        </w:rPr>
        <w:lastRenderedPageBreak/>
        <w:t xml:space="preserve">Superior [Internet]. 2022 [citado 25 Feb 2022]; 36 (1) Disponible en: </w:t>
      </w:r>
      <w:hyperlink r:id="rId11" w:history="1">
        <w:r w:rsidRPr="0018455F">
          <w:rPr>
            <w:rStyle w:val="Hipervnculo"/>
            <w:rFonts w:ascii="Arial" w:hAnsi="Arial" w:cs="Arial"/>
            <w:sz w:val="24"/>
            <w:szCs w:val="24"/>
          </w:rPr>
          <w:t>http://www.ems.sld.cu/index.php/ems/article/view/2228</w:t>
        </w:r>
      </w:hyperlink>
    </w:p>
    <w:p w:rsidR="00B1203E" w:rsidRDefault="00B1203E" w:rsidP="00B1203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203E">
        <w:rPr>
          <w:rFonts w:ascii="Arial" w:hAnsi="Arial" w:cs="Arial"/>
          <w:sz w:val="24"/>
          <w:szCs w:val="24"/>
        </w:rPr>
        <w:t xml:space="preserve">Valdés </w:t>
      </w:r>
      <w:proofErr w:type="spellStart"/>
      <w:r w:rsidRPr="00B1203E">
        <w:rPr>
          <w:rFonts w:ascii="Arial" w:hAnsi="Arial" w:cs="Arial"/>
          <w:sz w:val="24"/>
          <w:szCs w:val="24"/>
        </w:rPr>
        <w:t>Vento</w:t>
      </w:r>
      <w:proofErr w:type="spellEnd"/>
      <w:r w:rsidRPr="00B1203E">
        <w:rPr>
          <w:rFonts w:ascii="Arial" w:hAnsi="Arial" w:cs="Arial"/>
          <w:sz w:val="24"/>
          <w:szCs w:val="24"/>
        </w:rPr>
        <w:t xml:space="preserve"> AC, Morales Suárez I del R., Díaz Cabrera JC, Sánchez Fuentes AL, Cuéllar Álvarez R. Criterios de evaluación de la variable "pertinencia e impacto social" específicos para la carrera de Medicina. </w:t>
      </w:r>
      <w:proofErr w:type="spellStart"/>
      <w:r w:rsidRPr="00B1203E">
        <w:rPr>
          <w:rFonts w:ascii="Arial" w:hAnsi="Arial" w:cs="Arial"/>
          <w:sz w:val="24"/>
          <w:szCs w:val="24"/>
        </w:rPr>
        <w:t>Educ</w:t>
      </w:r>
      <w:proofErr w:type="spellEnd"/>
      <w:r w:rsidRPr="00B12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03E">
        <w:rPr>
          <w:rFonts w:ascii="Arial" w:hAnsi="Arial" w:cs="Arial"/>
          <w:sz w:val="24"/>
          <w:szCs w:val="24"/>
        </w:rPr>
        <w:t>Med</w:t>
      </w:r>
      <w:proofErr w:type="spellEnd"/>
      <w:r w:rsidRPr="00B120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03E">
        <w:rPr>
          <w:rFonts w:ascii="Arial" w:hAnsi="Arial" w:cs="Arial"/>
          <w:sz w:val="24"/>
          <w:szCs w:val="24"/>
        </w:rPr>
        <w:t>Super</w:t>
      </w:r>
      <w:proofErr w:type="spellEnd"/>
      <w:r w:rsidRPr="00B1203E">
        <w:rPr>
          <w:rFonts w:ascii="Arial" w:hAnsi="Arial" w:cs="Arial"/>
          <w:sz w:val="24"/>
          <w:szCs w:val="24"/>
        </w:rPr>
        <w:t xml:space="preserve"> [Internet]. 2009 </w:t>
      </w:r>
      <w:proofErr w:type="spellStart"/>
      <w:r w:rsidRPr="00B1203E">
        <w:rPr>
          <w:rFonts w:ascii="Arial" w:hAnsi="Arial" w:cs="Arial"/>
          <w:sz w:val="24"/>
          <w:szCs w:val="24"/>
        </w:rPr>
        <w:t>Sep</w:t>
      </w:r>
      <w:proofErr w:type="spellEnd"/>
      <w:r w:rsidRPr="00B1203E">
        <w:rPr>
          <w:rFonts w:ascii="Arial" w:hAnsi="Arial" w:cs="Arial"/>
          <w:sz w:val="24"/>
          <w:szCs w:val="24"/>
        </w:rPr>
        <w:t xml:space="preserve"> [citado 2012 </w:t>
      </w:r>
      <w:proofErr w:type="spellStart"/>
      <w:r w:rsidRPr="00B1203E">
        <w:rPr>
          <w:rFonts w:ascii="Arial" w:hAnsi="Arial" w:cs="Arial"/>
          <w:sz w:val="24"/>
          <w:szCs w:val="24"/>
        </w:rPr>
        <w:t>Ago</w:t>
      </w:r>
      <w:proofErr w:type="spellEnd"/>
      <w:r w:rsidRPr="00B1203E">
        <w:rPr>
          <w:rFonts w:ascii="Arial" w:hAnsi="Arial" w:cs="Arial"/>
          <w:sz w:val="24"/>
          <w:szCs w:val="24"/>
        </w:rPr>
        <w:t xml:space="preserve"> 14];23(3). Disponible en: </w:t>
      </w:r>
      <w:hyperlink r:id="rId12" w:history="1">
        <w:r w:rsidRPr="00402FB5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http://scielo.sld.cu/scielo.php?script=sci_arttext&amp;pid=S0864-21412009000300005&amp;lng=es</w:t>
        </w:r>
      </w:hyperlink>
    </w:p>
    <w:p w:rsidR="00B1203E" w:rsidRDefault="00B1203E" w:rsidP="00B1203E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71036" w:rsidRPr="00971036" w:rsidRDefault="00971036" w:rsidP="009710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1036">
        <w:rPr>
          <w:rFonts w:ascii="Arial" w:hAnsi="Arial" w:cs="Arial"/>
          <w:sz w:val="24"/>
          <w:szCs w:val="24"/>
        </w:rPr>
        <w:t xml:space="preserve">Araujo S. Evaluación del aprendizaje en la Universidad. Principios para favorecerlo. Ítems del CIEP Número I: “Miradas </w:t>
      </w:r>
      <w:proofErr w:type="spellStart"/>
      <w:r w:rsidRPr="00971036">
        <w:rPr>
          <w:rFonts w:ascii="Arial" w:hAnsi="Arial" w:cs="Arial"/>
          <w:sz w:val="24"/>
          <w:szCs w:val="24"/>
        </w:rPr>
        <w:t>interdisciplinarias”.Tandil</w:t>
      </w:r>
      <w:proofErr w:type="spellEnd"/>
      <w:r w:rsidRPr="00971036">
        <w:rPr>
          <w:rFonts w:ascii="Arial" w:hAnsi="Arial" w:cs="Arial"/>
          <w:sz w:val="24"/>
          <w:szCs w:val="24"/>
        </w:rPr>
        <w:t xml:space="preserve">: UNCPBA; 2016 [acceso 28/07/2019]. Disponible en: </w:t>
      </w:r>
      <w:hyperlink r:id="rId13" w:history="1">
        <w:r w:rsidRPr="00971036">
          <w:rPr>
            <w:rStyle w:val="Hipervnculo"/>
            <w:rFonts w:ascii="Arial" w:hAnsi="Arial" w:cs="Arial"/>
            <w:sz w:val="24"/>
            <w:szCs w:val="24"/>
          </w:rPr>
          <w:t>http://ojs.fch.unicen.edu.ar/index.php/ciep/about</w:t>
        </w:r>
      </w:hyperlink>
    </w:p>
    <w:p w:rsidR="00971036" w:rsidRDefault="00971036" w:rsidP="0097103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71036">
        <w:rPr>
          <w:rFonts w:ascii="Arial" w:hAnsi="Arial" w:cs="Arial"/>
          <w:sz w:val="24"/>
          <w:szCs w:val="24"/>
        </w:rPr>
        <w:t xml:space="preserve">Galarza J. Respuesta a la carta enviada al Editor científico de la revista Educación Médica Superior sobre el artículo: Metodología para evaluar la calidad de la formación del estudiante en la Escuela Latinoamericana de Medicina. </w:t>
      </w:r>
      <w:proofErr w:type="spellStart"/>
      <w:r w:rsidRPr="00971036">
        <w:rPr>
          <w:rFonts w:ascii="Arial" w:hAnsi="Arial" w:cs="Arial"/>
          <w:sz w:val="24"/>
          <w:szCs w:val="24"/>
        </w:rPr>
        <w:t>Educ</w:t>
      </w:r>
      <w:proofErr w:type="spellEnd"/>
      <w:r w:rsidRPr="00971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36">
        <w:rPr>
          <w:rFonts w:ascii="Arial" w:hAnsi="Arial" w:cs="Arial"/>
          <w:sz w:val="24"/>
          <w:szCs w:val="24"/>
        </w:rPr>
        <w:t>Méd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036">
        <w:rPr>
          <w:rFonts w:ascii="Arial" w:hAnsi="Arial" w:cs="Arial"/>
          <w:sz w:val="24"/>
          <w:szCs w:val="24"/>
        </w:rPr>
        <w:t>Super</w:t>
      </w:r>
      <w:proofErr w:type="spellEnd"/>
      <w:r w:rsidRPr="00971036">
        <w:rPr>
          <w:rFonts w:ascii="Arial" w:hAnsi="Arial" w:cs="Arial"/>
          <w:sz w:val="24"/>
          <w:szCs w:val="24"/>
        </w:rPr>
        <w:t>. 2018 [acceso 28/07/2019</w:t>
      </w:r>
      <w:proofErr w:type="gramStart"/>
      <w:r w:rsidRPr="00971036">
        <w:rPr>
          <w:rFonts w:ascii="Arial" w:hAnsi="Arial" w:cs="Arial"/>
          <w:sz w:val="24"/>
          <w:szCs w:val="24"/>
        </w:rPr>
        <w:t>];32:6</w:t>
      </w:r>
      <w:proofErr w:type="gramEnd"/>
      <w:r w:rsidRPr="00971036">
        <w:rPr>
          <w:rFonts w:ascii="Arial" w:hAnsi="Arial" w:cs="Arial"/>
          <w:sz w:val="24"/>
          <w:szCs w:val="24"/>
        </w:rPr>
        <w:t xml:space="preserve">-24. Disponible en: </w:t>
      </w:r>
      <w:hyperlink r:id="rId14" w:history="1">
        <w:r w:rsidRPr="000E0DD5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http://scielo.sld.cu/scielo.php?script=sci_arttext&amp;pid=S0864-21412018000400003&amp;nrm=iso</w:t>
        </w:r>
      </w:hyperlink>
    </w:p>
    <w:p w:rsidR="00971036" w:rsidRDefault="006C24B7" w:rsidP="006C24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24B7">
        <w:rPr>
          <w:rFonts w:ascii="Arial" w:hAnsi="Arial" w:cs="Arial"/>
          <w:sz w:val="24"/>
          <w:szCs w:val="24"/>
        </w:rPr>
        <w:t xml:space="preserve">Salas Perea R, Salas </w:t>
      </w:r>
      <w:proofErr w:type="spellStart"/>
      <w:r w:rsidRPr="006C24B7">
        <w:rPr>
          <w:rFonts w:ascii="Arial" w:hAnsi="Arial" w:cs="Arial"/>
          <w:sz w:val="24"/>
          <w:szCs w:val="24"/>
        </w:rPr>
        <w:t>Mainegra</w:t>
      </w:r>
      <w:proofErr w:type="spellEnd"/>
      <w:r w:rsidRPr="006C24B7">
        <w:rPr>
          <w:rFonts w:ascii="Arial" w:hAnsi="Arial" w:cs="Arial"/>
          <w:sz w:val="24"/>
          <w:szCs w:val="24"/>
        </w:rPr>
        <w:t xml:space="preserve"> A. Evaluación para el aprendizaje en ciencias de la salud. EDUMECENTRO 2017; 9(1):208-227 ISSN 2077-2874 RNPS 2234.Santa Clara </w:t>
      </w:r>
      <w:r>
        <w:rPr>
          <w:rFonts w:ascii="Arial" w:hAnsi="Arial" w:cs="Arial"/>
          <w:sz w:val="24"/>
          <w:szCs w:val="24"/>
        </w:rPr>
        <w:t>.</w:t>
      </w:r>
      <w:r w:rsidRPr="006C24B7">
        <w:rPr>
          <w:rFonts w:ascii="Arial" w:hAnsi="Arial" w:cs="Arial"/>
          <w:sz w:val="24"/>
          <w:szCs w:val="24"/>
        </w:rPr>
        <w:t>ene.-mar.</w:t>
      </w:r>
    </w:p>
    <w:p w:rsidR="006C24B7" w:rsidRDefault="00B721D3" w:rsidP="00B721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21D3">
        <w:rPr>
          <w:rFonts w:ascii="Arial" w:hAnsi="Arial" w:cs="Arial"/>
          <w:sz w:val="24"/>
          <w:szCs w:val="24"/>
        </w:rPr>
        <w:t>Salas Perea RS. La Evaluación en la Educación superior Contemporánea. Capítulo 6. Biblioteca de Medicina Volumen XXIV, Universidad Mayor de San Andrés, La Paz; 1998.</w:t>
      </w:r>
    </w:p>
    <w:p w:rsidR="0044258F" w:rsidRDefault="0044258F" w:rsidP="0044258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258F">
        <w:rPr>
          <w:rFonts w:ascii="Arial" w:hAnsi="Arial" w:cs="Arial"/>
          <w:sz w:val="24"/>
          <w:szCs w:val="24"/>
        </w:rPr>
        <w:t xml:space="preserve">Martínez-Uriarte E, Sánchez-Pérez M, </w:t>
      </w:r>
      <w:proofErr w:type="spellStart"/>
      <w:r w:rsidRPr="0044258F">
        <w:rPr>
          <w:rFonts w:ascii="Arial" w:hAnsi="Arial" w:cs="Arial"/>
          <w:sz w:val="24"/>
          <w:szCs w:val="24"/>
        </w:rPr>
        <w:t>Yu</w:t>
      </w:r>
      <w:proofErr w:type="spellEnd"/>
      <w:r w:rsidRPr="0044258F">
        <w:rPr>
          <w:rFonts w:ascii="Arial" w:hAnsi="Arial" w:cs="Arial"/>
          <w:sz w:val="24"/>
          <w:szCs w:val="24"/>
        </w:rPr>
        <w:t xml:space="preserve">-Parra M. Evaluación final del internado rotatorio de Medicina General Integral. Educación Médica Superior [Internet]. 2018 [citado 25 Feb 2022]; 31 (4) Disponible en: </w:t>
      </w:r>
      <w:hyperlink r:id="rId15" w:history="1">
        <w:r w:rsidRPr="0018455F">
          <w:rPr>
            <w:rStyle w:val="Hipervnculo"/>
            <w:rFonts w:ascii="Arial" w:hAnsi="Arial" w:cs="Arial"/>
            <w:sz w:val="24"/>
            <w:szCs w:val="24"/>
          </w:rPr>
          <w:t>http://www.ems.sld.cu/index.php/ems/article/view/1172</w:t>
        </w:r>
      </w:hyperlink>
    </w:p>
    <w:p w:rsidR="003A5737" w:rsidRPr="009366DC" w:rsidRDefault="003A5737" w:rsidP="003A573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3A5737">
        <w:rPr>
          <w:rFonts w:ascii="Arial" w:hAnsi="Arial" w:cs="Arial"/>
          <w:sz w:val="24"/>
          <w:szCs w:val="24"/>
        </w:rPr>
        <w:t>Marilou</w:t>
      </w:r>
      <w:proofErr w:type="spellEnd"/>
      <w:r w:rsidRPr="003A5737">
        <w:rPr>
          <w:rFonts w:ascii="Arial" w:hAnsi="Arial" w:cs="Arial"/>
          <w:sz w:val="24"/>
          <w:szCs w:val="24"/>
        </w:rPr>
        <w:t xml:space="preserve"> K y colaboradores. Ejercicios de psicomotricidad en el desarrollo de habilidades manuales para la práctica odontológica”. Editorial Universidad </w:t>
      </w:r>
      <w:r w:rsidRPr="003A5737">
        <w:rPr>
          <w:rFonts w:ascii="Arial" w:hAnsi="Arial" w:cs="Arial"/>
          <w:sz w:val="24"/>
          <w:szCs w:val="24"/>
        </w:rPr>
        <w:lastRenderedPageBreak/>
        <w:t xml:space="preserve">Nacional de Chimborazo. [Internet]. 2020 [citado 4 de </w:t>
      </w:r>
      <w:r>
        <w:rPr>
          <w:rFonts w:ascii="Arial" w:hAnsi="Arial" w:cs="Arial"/>
          <w:sz w:val="24"/>
          <w:szCs w:val="24"/>
        </w:rPr>
        <w:t>febrero</w:t>
      </w:r>
      <w:r w:rsidRPr="003A5737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2</w:t>
      </w:r>
      <w:proofErr w:type="gramStart"/>
      <w:r w:rsidRPr="003A5737">
        <w:rPr>
          <w:rFonts w:ascii="Arial" w:hAnsi="Arial" w:cs="Arial"/>
          <w:sz w:val="24"/>
          <w:szCs w:val="24"/>
        </w:rPr>
        <w:t>] ;</w:t>
      </w:r>
      <w:proofErr w:type="gramEnd"/>
      <w:r w:rsidRPr="003A5737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3A5737">
        <w:rPr>
          <w:rFonts w:ascii="Arial" w:hAnsi="Arial" w:cs="Arial"/>
          <w:sz w:val="24"/>
          <w:szCs w:val="24"/>
        </w:rPr>
        <w:t>aprox</w:t>
      </w:r>
      <w:proofErr w:type="spellEnd"/>
      <w:r w:rsidRPr="003A5737">
        <w:rPr>
          <w:rFonts w:ascii="Arial" w:hAnsi="Arial" w:cs="Arial"/>
          <w:sz w:val="24"/>
          <w:szCs w:val="24"/>
        </w:rPr>
        <w:t xml:space="preserve"> 4 p.]. Disponible; </w:t>
      </w:r>
      <w:hyperlink r:id="rId16" w:history="1">
        <w:r w:rsidRPr="003A5737">
          <w:rPr>
            <w:rStyle w:val="Hipervnculo"/>
            <w:rFonts w:ascii="Arial" w:hAnsi="Arial" w:cs="Arial"/>
            <w:sz w:val="24"/>
            <w:szCs w:val="24"/>
          </w:rPr>
          <w:t>http://dspace.unach.edu.ec/handle/51000/6440</w:t>
        </w:r>
      </w:hyperlink>
    </w:p>
    <w:p w:rsidR="009366DC" w:rsidRDefault="009366DC" w:rsidP="009366D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366DC">
        <w:rPr>
          <w:rFonts w:ascii="Arial" w:hAnsi="Arial" w:cs="Arial"/>
          <w:sz w:val="24"/>
          <w:szCs w:val="24"/>
        </w:rPr>
        <w:t xml:space="preserve">Hernández Millán AB. PROGRAMA DE EJERCICIOS FÍSICOS EN LA MANO NO DOMINANTE. CARRERA ESTOMATOLOGIA, UNIVERSIDAD CIENCIAS MÉDICAS, CIENFUEGOS. Congreso Virtual de Estomatología.2020.  Disponible en: </w:t>
      </w:r>
      <w:hyperlink r:id="rId17" w:history="1">
        <w:r w:rsidRPr="00994140">
          <w:rPr>
            <w:rStyle w:val="Hipervnculo"/>
            <w:rFonts w:ascii="Arial" w:hAnsi="Arial" w:cs="Arial"/>
            <w:sz w:val="24"/>
            <w:szCs w:val="24"/>
          </w:rPr>
          <w:t>http://www.estomatologia2020.sld.cu/index.php/estomatología/2020/paper/view/405</w:t>
        </w:r>
      </w:hyperlink>
    </w:p>
    <w:p w:rsidR="003A5737" w:rsidRPr="009366DC" w:rsidRDefault="003A5737" w:rsidP="009366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4258F" w:rsidRPr="00A35533" w:rsidRDefault="00A35533" w:rsidP="00A3553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21D3">
        <w:rPr>
          <w:rFonts w:ascii="Arial" w:hAnsi="Arial" w:cs="Arial"/>
          <w:sz w:val="24"/>
          <w:szCs w:val="24"/>
        </w:rPr>
        <w:t xml:space="preserve">González OL, </w:t>
      </w:r>
      <w:proofErr w:type="spellStart"/>
      <w:r w:rsidRPr="00B721D3">
        <w:rPr>
          <w:rFonts w:ascii="Arial" w:hAnsi="Arial" w:cs="Arial"/>
          <w:sz w:val="24"/>
          <w:szCs w:val="24"/>
        </w:rPr>
        <w:t>Portuondo</w:t>
      </w:r>
      <w:proofErr w:type="spellEnd"/>
      <w:r w:rsidRPr="00B721D3">
        <w:rPr>
          <w:rFonts w:ascii="Arial" w:hAnsi="Arial" w:cs="Arial"/>
          <w:sz w:val="24"/>
          <w:szCs w:val="24"/>
        </w:rPr>
        <w:t xml:space="preserve"> Padrón R. La evaluación del aprendizaje. </w:t>
      </w:r>
      <w:proofErr w:type="spellStart"/>
      <w:r w:rsidRPr="00B721D3">
        <w:rPr>
          <w:rFonts w:ascii="Arial" w:hAnsi="Arial" w:cs="Arial"/>
          <w:sz w:val="24"/>
          <w:szCs w:val="24"/>
        </w:rPr>
        <w:t>Rev</w:t>
      </w:r>
      <w:proofErr w:type="spellEnd"/>
      <w:r w:rsidRPr="00B721D3">
        <w:rPr>
          <w:rFonts w:ascii="Arial" w:hAnsi="Arial" w:cs="Arial"/>
          <w:sz w:val="24"/>
          <w:szCs w:val="24"/>
        </w:rPr>
        <w:t xml:space="preserve"> Cubana </w:t>
      </w:r>
      <w:proofErr w:type="spellStart"/>
      <w:r w:rsidRPr="00B721D3">
        <w:rPr>
          <w:rFonts w:ascii="Arial" w:hAnsi="Arial" w:cs="Arial"/>
          <w:sz w:val="24"/>
          <w:szCs w:val="24"/>
        </w:rPr>
        <w:t>Educ</w:t>
      </w:r>
      <w:proofErr w:type="spellEnd"/>
      <w:r w:rsidRPr="00B721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1D3">
        <w:rPr>
          <w:rFonts w:ascii="Arial" w:hAnsi="Arial" w:cs="Arial"/>
          <w:sz w:val="24"/>
          <w:szCs w:val="24"/>
        </w:rPr>
        <w:t>Sup</w:t>
      </w:r>
      <w:proofErr w:type="spellEnd"/>
      <w:r w:rsidRPr="00B721D3">
        <w:rPr>
          <w:rFonts w:ascii="Arial" w:hAnsi="Arial" w:cs="Arial"/>
          <w:sz w:val="24"/>
          <w:szCs w:val="24"/>
        </w:rPr>
        <w:t>. 1998;(1):49-63.</w:t>
      </w:r>
    </w:p>
    <w:p w:rsidR="00B721D3" w:rsidRPr="006477F6" w:rsidRDefault="0045622E" w:rsidP="006477F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77F6">
        <w:rPr>
          <w:rFonts w:ascii="Arial" w:hAnsi="Arial" w:cs="Arial"/>
          <w:sz w:val="24"/>
        </w:rPr>
        <w:t>Vialart</w:t>
      </w:r>
      <w:proofErr w:type="spellEnd"/>
      <w:r w:rsidRPr="006477F6">
        <w:rPr>
          <w:rFonts w:ascii="Arial" w:hAnsi="Arial" w:cs="Arial"/>
          <w:sz w:val="24"/>
        </w:rPr>
        <w:t xml:space="preserve">-Vidal MN. Estrategias didácticas para la virtualización del proceso enseñanza aprendizaje en tiempos de COVID-19. Educación Médica Superior. 2020 [acceso 17/11/2020];34(3). Disponible en: </w:t>
      </w:r>
      <w:hyperlink r:id="rId18" w:history="1">
        <w:r w:rsidRPr="006477F6">
          <w:rPr>
            <w:rStyle w:val="Hipervnculo"/>
            <w:rFonts w:ascii="Arial" w:hAnsi="Arial" w:cs="Arial"/>
            <w:sz w:val="24"/>
          </w:rPr>
          <w:t>http://www.ems.sld.cu/index.php/ems/article/view/2594</w:t>
        </w:r>
      </w:hyperlink>
    </w:p>
    <w:p w:rsidR="0045622E" w:rsidRPr="0045622E" w:rsidRDefault="0045622E" w:rsidP="00B721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45622E">
        <w:rPr>
          <w:rFonts w:ascii="Arial" w:hAnsi="Arial" w:cs="Arial"/>
          <w:sz w:val="24"/>
        </w:rPr>
        <w:t>Bernaza</w:t>
      </w:r>
      <w:proofErr w:type="spellEnd"/>
      <w:r w:rsidRPr="0045622E">
        <w:rPr>
          <w:rFonts w:ascii="Arial" w:hAnsi="Arial" w:cs="Arial"/>
          <w:sz w:val="24"/>
        </w:rPr>
        <w:t>-Rodríguez GJ, Aparicio-Suárez JL, de la Paz-Martínez E, Torres-Alfonso AM, Alfonso-</w:t>
      </w:r>
      <w:proofErr w:type="spellStart"/>
      <w:r w:rsidRPr="0045622E">
        <w:rPr>
          <w:rFonts w:ascii="Arial" w:hAnsi="Arial" w:cs="Arial"/>
          <w:sz w:val="24"/>
        </w:rPr>
        <w:t>Manzanet</w:t>
      </w:r>
      <w:proofErr w:type="spellEnd"/>
      <w:r w:rsidRPr="0045622E">
        <w:rPr>
          <w:rFonts w:ascii="Arial" w:hAnsi="Arial" w:cs="Arial"/>
          <w:sz w:val="24"/>
        </w:rPr>
        <w:t xml:space="preserve"> JE. La educación de posgrado ante el nuevo escenario generado por la COVID-19. Educación Médica Superior. 2020 [acceso 11/01/2021];34(4). Disponible en: </w:t>
      </w:r>
      <w:hyperlink r:id="rId19" w:history="1">
        <w:r w:rsidRPr="0045622E">
          <w:rPr>
            <w:rStyle w:val="Hipervnculo"/>
            <w:rFonts w:ascii="Arial" w:hAnsi="Arial" w:cs="Arial"/>
            <w:sz w:val="24"/>
          </w:rPr>
          <w:t>http://www.ems.sld.cu/index.php/ems/article/view/2718</w:t>
        </w:r>
      </w:hyperlink>
    </w:p>
    <w:p w:rsidR="0045622E" w:rsidRPr="0045622E" w:rsidRDefault="0045622E" w:rsidP="00B721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r w:rsidRPr="0045622E">
        <w:rPr>
          <w:rFonts w:ascii="Arial" w:hAnsi="Arial" w:cs="Arial"/>
          <w:sz w:val="24"/>
        </w:rPr>
        <w:t>Vergara-de-la-Rosa E, Vergara-</w:t>
      </w:r>
      <w:proofErr w:type="spellStart"/>
      <w:r w:rsidRPr="0045622E">
        <w:rPr>
          <w:rFonts w:ascii="Arial" w:hAnsi="Arial" w:cs="Arial"/>
          <w:sz w:val="24"/>
        </w:rPr>
        <w:t>Tam</w:t>
      </w:r>
      <w:proofErr w:type="spellEnd"/>
      <w:r w:rsidRPr="0045622E">
        <w:rPr>
          <w:rFonts w:ascii="Arial" w:hAnsi="Arial" w:cs="Arial"/>
          <w:sz w:val="24"/>
        </w:rPr>
        <w:t xml:space="preserve"> R, </w:t>
      </w:r>
      <w:proofErr w:type="spellStart"/>
      <w:r w:rsidRPr="0045622E">
        <w:rPr>
          <w:rFonts w:ascii="Arial" w:hAnsi="Arial" w:cs="Arial"/>
          <w:sz w:val="24"/>
        </w:rPr>
        <w:t>Alvarez</w:t>
      </w:r>
      <w:proofErr w:type="spellEnd"/>
      <w:r w:rsidRPr="0045622E">
        <w:rPr>
          <w:rFonts w:ascii="Arial" w:hAnsi="Arial" w:cs="Arial"/>
          <w:sz w:val="24"/>
        </w:rPr>
        <w:t xml:space="preserve">-Vargas M, Camacho-Saavedra L, </w:t>
      </w:r>
      <w:proofErr w:type="spellStart"/>
      <w:r w:rsidRPr="0045622E">
        <w:rPr>
          <w:rFonts w:ascii="Arial" w:hAnsi="Arial" w:cs="Arial"/>
          <w:sz w:val="24"/>
        </w:rPr>
        <w:t>Galvez-Lortegui</w:t>
      </w:r>
      <w:proofErr w:type="spellEnd"/>
      <w:r w:rsidRPr="0045622E">
        <w:rPr>
          <w:rFonts w:ascii="Arial" w:hAnsi="Arial" w:cs="Arial"/>
          <w:sz w:val="24"/>
        </w:rPr>
        <w:t xml:space="preserve"> J. Educación médica a distancia en tiempos de COVID-19. Educación Médica Superior. 2020 [acceso 11/01/2021];34(2). Disponible en: </w:t>
      </w:r>
      <w:hyperlink r:id="rId20" w:history="1">
        <w:r w:rsidRPr="0045622E">
          <w:rPr>
            <w:rStyle w:val="Hipervnculo"/>
            <w:rFonts w:ascii="Arial" w:hAnsi="Arial" w:cs="Arial"/>
            <w:sz w:val="24"/>
          </w:rPr>
          <w:t>http://www.ems.sld.cu/index.php/ems/article/view/2383</w:t>
        </w:r>
      </w:hyperlink>
    </w:p>
    <w:p w:rsidR="0045622E" w:rsidRPr="009366DC" w:rsidRDefault="0045622E" w:rsidP="009366DC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C3EB4" w:rsidRDefault="004C3EB4" w:rsidP="004C3EB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C3EB4" w:rsidRPr="004C3EB4" w:rsidRDefault="004C3EB4" w:rsidP="004C3EB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C3EB4" w:rsidRPr="004C3EB4" w:rsidRDefault="004C3EB4" w:rsidP="004C3EB4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10E78" w:rsidRPr="004C3EB4" w:rsidRDefault="00D10E78" w:rsidP="004C3EB4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D10E78" w:rsidRPr="004C3EB4" w:rsidSect="009146C9">
      <w:pgSz w:w="12240" w:h="15840" w:code="1"/>
      <w:pgMar w:top="1418" w:right="170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7A4"/>
    <w:multiLevelType w:val="hybridMultilevel"/>
    <w:tmpl w:val="380CAD22"/>
    <w:lvl w:ilvl="0" w:tplc="64244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8A6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B3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67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C28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D279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44C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02B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B2B6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5338A"/>
    <w:multiLevelType w:val="hybridMultilevel"/>
    <w:tmpl w:val="CD20D2C6"/>
    <w:lvl w:ilvl="0" w:tplc="AAFC3B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C484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881D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E246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AF8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4FB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40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807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C0AF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0E2D"/>
    <w:multiLevelType w:val="hybridMultilevel"/>
    <w:tmpl w:val="E9D2D7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A515C"/>
    <w:multiLevelType w:val="hybridMultilevel"/>
    <w:tmpl w:val="D9869BF4"/>
    <w:lvl w:ilvl="0" w:tplc="5A1C6F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6FC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270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0AC8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5638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BC4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093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EA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F1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53"/>
    <w:rsid w:val="00086702"/>
    <w:rsid w:val="000C4D7B"/>
    <w:rsid w:val="0018721C"/>
    <w:rsid w:val="0019625E"/>
    <w:rsid w:val="001D6B6D"/>
    <w:rsid w:val="001F6AE5"/>
    <w:rsid w:val="0029188E"/>
    <w:rsid w:val="0029380E"/>
    <w:rsid w:val="002C3E28"/>
    <w:rsid w:val="002C553E"/>
    <w:rsid w:val="003A5737"/>
    <w:rsid w:val="0042586B"/>
    <w:rsid w:val="0044258F"/>
    <w:rsid w:val="0045622E"/>
    <w:rsid w:val="004A72F6"/>
    <w:rsid w:val="004C3EB4"/>
    <w:rsid w:val="00551B18"/>
    <w:rsid w:val="00561389"/>
    <w:rsid w:val="006156B7"/>
    <w:rsid w:val="006477F6"/>
    <w:rsid w:val="006718CD"/>
    <w:rsid w:val="006C24B7"/>
    <w:rsid w:val="00704943"/>
    <w:rsid w:val="00741A7A"/>
    <w:rsid w:val="00771C20"/>
    <w:rsid w:val="007C34C9"/>
    <w:rsid w:val="007D4D72"/>
    <w:rsid w:val="009146C9"/>
    <w:rsid w:val="0093419D"/>
    <w:rsid w:val="009366DC"/>
    <w:rsid w:val="00971036"/>
    <w:rsid w:val="00991395"/>
    <w:rsid w:val="009A682E"/>
    <w:rsid w:val="009C7A53"/>
    <w:rsid w:val="009D438E"/>
    <w:rsid w:val="00A35533"/>
    <w:rsid w:val="00AA1606"/>
    <w:rsid w:val="00B1203E"/>
    <w:rsid w:val="00B22C3A"/>
    <w:rsid w:val="00B463B2"/>
    <w:rsid w:val="00B721D3"/>
    <w:rsid w:val="00C74FD6"/>
    <w:rsid w:val="00C913CC"/>
    <w:rsid w:val="00D10B31"/>
    <w:rsid w:val="00D10E78"/>
    <w:rsid w:val="00E459F2"/>
    <w:rsid w:val="00E9248B"/>
    <w:rsid w:val="00EF5701"/>
    <w:rsid w:val="00F17CA6"/>
    <w:rsid w:val="00F5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A200"/>
  <w15:docId w15:val="{8A85EF2C-39AD-4634-98D3-3580AE9E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3EB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C3E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D43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38E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38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leidysp@infomed.sld.cu" TargetMode="External"/><Relationship Id="rId13" Type="http://schemas.openxmlformats.org/officeDocument/2006/relationships/hyperlink" Target="http://ojs.fch.unicen.edu.ar/index.php/ciep/about" TargetMode="External"/><Relationship Id="rId18" Type="http://schemas.openxmlformats.org/officeDocument/2006/relationships/hyperlink" Target="http://www.ems.sld.cu/index.php/ems/article/view/259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1-5890-3497" TargetMode="External"/><Relationship Id="rId12" Type="http://schemas.openxmlformats.org/officeDocument/2006/relationships/hyperlink" Target="http://scielo.sld.cu/scielo.php?script=sci_arttext&amp;pid=S0864-21412009000300005&amp;lng=es" TargetMode="External"/><Relationship Id="rId17" Type="http://schemas.openxmlformats.org/officeDocument/2006/relationships/hyperlink" Target="http://www.estomatologia2020.sld.cu/index.php/estomatolog&#237;a/2020/paper/view/4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pace.unach.edu.ec/handle/51000/6440" TargetMode="External"/><Relationship Id="rId20" Type="http://schemas.openxmlformats.org/officeDocument/2006/relationships/hyperlink" Target="http://www.ems.sld.cu/index.php/ems/article/view/238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ms.sld.cu/index.php/ems/article/view/22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ms.sld.cu/index.php/ems/article/view/1172" TargetMode="External"/><Relationship Id="rId10" Type="http://schemas.openxmlformats.org/officeDocument/2006/relationships/hyperlink" Target="http://scielo.sld.cu/scielo.php?script=sci_arttext&amp;pid=S2077-28742016000700008" TargetMode="External"/><Relationship Id="rId19" Type="http://schemas.openxmlformats.org/officeDocument/2006/relationships/hyperlink" Target="http://www.ems.sld.cu/index.php/ems/article/view/2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scuba.sld.cu/libro/evaluacion-para-el-aprendizajeen-ciencias-de-la-salud/" TargetMode="External"/><Relationship Id="rId14" Type="http://schemas.openxmlformats.org/officeDocument/2006/relationships/hyperlink" Target="http://scielo.sld.cu/scielo.php?script=sci_arttext&amp;pid=S0864-21412018000400003&amp;nrm=is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4661E-F846-4639-A8BE-558AE689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2759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Daniela</cp:lastModifiedBy>
  <cp:revision>23</cp:revision>
  <dcterms:created xsi:type="dcterms:W3CDTF">2022-02-25T11:03:00Z</dcterms:created>
  <dcterms:modified xsi:type="dcterms:W3CDTF">2022-05-27T11:12:00Z</dcterms:modified>
</cp:coreProperties>
</file>