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BC" w:rsidRPr="00742EC6" w:rsidRDefault="00765122" w:rsidP="00765122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742EC6">
        <w:rPr>
          <w:rFonts w:ascii="Arial" w:hAnsi="Arial" w:cs="Arial"/>
          <w:sz w:val="28"/>
          <w:szCs w:val="28"/>
          <w:u w:val="single"/>
        </w:rPr>
        <w:t>Metodología para la atención prenatal.</w:t>
      </w:r>
    </w:p>
    <w:p w:rsidR="00765122" w:rsidRPr="00742EC6" w:rsidRDefault="00765122" w:rsidP="00765122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765122" w:rsidRPr="00742EC6" w:rsidRDefault="00765122" w:rsidP="00765122">
      <w:pPr>
        <w:pStyle w:val="NormalWeb"/>
        <w:kinsoku w:val="0"/>
        <w:overflowPunct w:val="0"/>
        <w:spacing w:before="134" w:beforeAutospacing="0" w:after="0" w:afterAutospacing="0" w:line="276" w:lineRule="auto"/>
        <w:ind w:left="418" w:hanging="418"/>
        <w:textAlignment w:val="baseline"/>
        <w:rPr>
          <w:rFonts w:ascii="Arial" w:eastAsiaTheme="minorEastAsia" w:hAnsi="Arial" w:cs="Arial"/>
          <w:b/>
          <w:bCs/>
          <w:i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742EC6">
        <w:rPr>
          <w:rFonts w:ascii="Arial" w:eastAsiaTheme="minorEastAsia" w:hAnsi="Arial" w:cs="Arial"/>
          <w:b/>
          <w:bCs/>
          <w:i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¿Qué</w:t>
      </w:r>
      <w:r w:rsidRPr="00742EC6">
        <w:rPr>
          <w:rFonts w:ascii="Arial" w:eastAsiaTheme="minorEastAsia" w:hAnsi="Arial" w:cs="Arial"/>
          <w:b/>
          <w:bCs/>
          <w:i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se entie</w:t>
      </w:r>
      <w:r w:rsidRPr="00742EC6">
        <w:rPr>
          <w:rFonts w:ascii="Arial" w:eastAsiaTheme="minorEastAsia" w:hAnsi="Arial" w:cs="Arial"/>
          <w:b/>
          <w:bCs/>
          <w:i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nde por riesgo preconcepcional?</w:t>
      </w:r>
    </w:p>
    <w:p w:rsidR="00765122" w:rsidRPr="00742EC6" w:rsidRDefault="00765122" w:rsidP="00765122">
      <w:pPr>
        <w:pStyle w:val="NormalWeb"/>
        <w:kinsoku w:val="0"/>
        <w:overflowPunct w:val="0"/>
        <w:spacing w:before="134" w:beforeAutospacing="0" w:after="0" w:afterAutospacing="0" w:line="276" w:lineRule="auto"/>
        <w:ind w:left="418" w:hanging="418"/>
        <w:textAlignment w:val="baseline"/>
        <w:rPr>
          <w:rFonts w:ascii="Arial" w:eastAsiaTheme="minorEastAsia" w:hAnsi="Arial" w:cs="Arial"/>
          <w:b/>
          <w:bCs/>
          <w:iCs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65122" w:rsidRPr="00742EC6" w:rsidRDefault="00765122" w:rsidP="00765122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kern w:val="24"/>
          <w:sz w:val="28"/>
          <w:szCs w:val="28"/>
        </w:rPr>
        <w:t>Probabilidad que tienen tanto la mujer en edad fértil (no gestante), su pareja, así como su producto potencial de sufrir daño durante el proceso de la reproducción.</w:t>
      </w:r>
    </w:p>
    <w:p w:rsidR="00765122" w:rsidRPr="00742EC6" w:rsidRDefault="00765122" w:rsidP="00765122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kern w:val="24"/>
          <w:sz w:val="28"/>
          <w:szCs w:val="28"/>
        </w:rPr>
        <w:t>Etapa fértil para mujeres y hombres: entre los 15 y 49 años.</w:t>
      </w:r>
    </w:p>
    <w:p w:rsidR="00765122" w:rsidRPr="00742EC6" w:rsidRDefault="00765122" w:rsidP="00765122">
      <w:pPr>
        <w:pStyle w:val="NormalWeb"/>
        <w:kinsoku w:val="0"/>
        <w:overflowPunct w:val="0"/>
        <w:spacing w:before="134" w:beforeAutospacing="0" w:after="0" w:afterAutospacing="0" w:line="276" w:lineRule="auto"/>
        <w:ind w:left="418" w:hanging="418"/>
        <w:textAlignment w:val="baseline"/>
        <w:rPr>
          <w:rFonts w:ascii="Arial" w:hAnsi="Arial" w:cs="Arial"/>
          <w:sz w:val="28"/>
          <w:szCs w:val="28"/>
        </w:rPr>
      </w:pPr>
    </w:p>
    <w:p w:rsidR="00765122" w:rsidRPr="00742EC6" w:rsidRDefault="00765122" w:rsidP="00765122">
      <w:pPr>
        <w:spacing w:before="115" w:after="0" w:line="276" w:lineRule="auto"/>
        <w:textAlignment w:val="baseline"/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  <w:lang w:eastAsia="es-ES"/>
        </w:rPr>
      </w:pPr>
      <w:r w:rsidRPr="00765122"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  <w:lang w:eastAsia="es-ES"/>
        </w:rPr>
        <w:t>Psicológicos.</w:t>
      </w:r>
    </w:p>
    <w:p w:rsidR="00765122" w:rsidRPr="00765122" w:rsidRDefault="00765122" w:rsidP="00765122">
      <w:pPr>
        <w:spacing w:before="115" w:after="0" w:line="276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765122" w:rsidRPr="00765122" w:rsidRDefault="00765122" w:rsidP="00765122">
      <w:pPr>
        <w:numPr>
          <w:ilvl w:val="0"/>
          <w:numId w:val="1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765122">
        <w:rPr>
          <w:rFonts w:ascii="Arial" w:eastAsiaTheme="minorEastAsia" w:hAnsi="Arial" w:cs="Arial"/>
          <w:iCs/>
          <w:color w:val="000000" w:themeColor="text1"/>
          <w:sz w:val="28"/>
          <w:szCs w:val="28"/>
          <w:lang w:eastAsia="es-ES"/>
        </w:rPr>
        <w:t>Poca cooperación a las orientaciones médicas.</w:t>
      </w:r>
    </w:p>
    <w:p w:rsidR="00765122" w:rsidRPr="00742EC6" w:rsidRDefault="00765122" w:rsidP="00765122">
      <w:pPr>
        <w:numPr>
          <w:ilvl w:val="0"/>
          <w:numId w:val="1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765122">
        <w:rPr>
          <w:rFonts w:ascii="Arial" w:eastAsiaTheme="minorEastAsia" w:hAnsi="Arial" w:cs="Arial"/>
          <w:iCs/>
          <w:color w:val="000000" w:themeColor="text1"/>
          <w:sz w:val="28"/>
          <w:szCs w:val="28"/>
          <w:lang w:eastAsia="es-ES"/>
        </w:rPr>
        <w:t xml:space="preserve">Trastorno de personalidad. </w:t>
      </w:r>
    </w:p>
    <w:p w:rsidR="00765122" w:rsidRPr="00765122" w:rsidRDefault="00765122" w:rsidP="00765122">
      <w:p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765122" w:rsidRPr="00765122" w:rsidRDefault="00765122" w:rsidP="00765122">
      <w:pPr>
        <w:spacing w:before="115" w:after="0" w:line="276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765122">
        <w:rPr>
          <w:rFonts w:ascii="Arial" w:eastAsiaTheme="minorEastAsia" w:hAnsi="Arial" w:cs="Arial"/>
          <w:b/>
          <w:iCs/>
          <w:color w:val="000000" w:themeColor="text1"/>
          <w:sz w:val="28"/>
          <w:szCs w:val="28"/>
          <w:lang w:eastAsia="es-ES"/>
        </w:rPr>
        <w:t>Ambientales.</w:t>
      </w:r>
    </w:p>
    <w:p w:rsidR="00765122" w:rsidRPr="00765122" w:rsidRDefault="00765122" w:rsidP="00765122">
      <w:pPr>
        <w:numPr>
          <w:ilvl w:val="0"/>
          <w:numId w:val="2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765122">
        <w:rPr>
          <w:rFonts w:ascii="Arial" w:eastAsiaTheme="minorEastAsia" w:hAnsi="Arial" w:cs="Arial"/>
          <w:iCs/>
          <w:color w:val="000000" w:themeColor="text1"/>
          <w:sz w:val="28"/>
          <w:szCs w:val="28"/>
          <w:lang w:eastAsia="es-ES"/>
        </w:rPr>
        <w:t xml:space="preserve">Atmosfera enrarecida </w:t>
      </w:r>
    </w:p>
    <w:p w:rsidR="00765122" w:rsidRPr="00765122" w:rsidRDefault="00765122" w:rsidP="00765122">
      <w:pPr>
        <w:numPr>
          <w:ilvl w:val="0"/>
          <w:numId w:val="2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765122">
        <w:rPr>
          <w:rFonts w:ascii="Arial" w:eastAsiaTheme="minorEastAsia" w:hAnsi="Arial" w:cs="Arial"/>
          <w:iCs/>
          <w:color w:val="000000" w:themeColor="text1"/>
          <w:sz w:val="28"/>
          <w:szCs w:val="28"/>
          <w:lang w:eastAsia="es-ES"/>
        </w:rPr>
        <w:t>Fuente de abasto de agua insegura.</w:t>
      </w:r>
    </w:p>
    <w:p w:rsidR="00765122" w:rsidRPr="00765122" w:rsidRDefault="00765122" w:rsidP="00765122">
      <w:pPr>
        <w:numPr>
          <w:ilvl w:val="0"/>
          <w:numId w:val="2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765122">
        <w:rPr>
          <w:rFonts w:ascii="Arial" w:eastAsiaTheme="minorEastAsia" w:hAnsi="Arial" w:cs="Arial"/>
          <w:iCs/>
          <w:color w:val="000000" w:themeColor="text1"/>
          <w:sz w:val="28"/>
          <w:szCs w:val="28"/>
          <w:lang w:eastAsia="es-ES"/>
        </w:rPr>
        <w:t xml:space="preserve"> Convivencia de algunos animales trasmisores de enfermedades al hombre. </w:t>
      </w:r>
    </w:p>
    <w:p w:rsidR="00765122" w:rsidRPr="00765122" w:rsidRDefault="00765122" w:rsidP="00765122">
      <w:pPr>
        <w:numPr>
          <w:ilvl w:val="0"/>
          <w:numId w:val="2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765122">
        <w:rPr>
          <w:rFonts w:ascii="Arial" w:eastAsiaTheme="minorEastAsia" w:hAnsi="Arial" w:cs="Arial"/>
          <w:iCs/>
          <w:color w:val="000000" w:themeColor="text1"/>
          <w:sz w:val="28"/>
          <w:szCs w:val="28"/>
          <w:lang w:eastAsia="es-ES"/>
        </w:rPr>
        <w:t>Poca higiene.</w:t>
      </w:r>
    </w:p>
    <w:p w:rsidR="00765122" w:rsidRPr="00742EC6" w:rsidRDefault="00765122" w:rsidP="00765122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765122" w:rsidRPr="00742EC6" w:rsidRDefault="00765122" w:rsidP="00765122">
      <w:pPr>
        <w:pStyle w:val="NormalWeb"/>
        <w:spacing w:before="115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  <w:t>Sociales</w:t>
      </w:r>
    </w:p>
    <w:p w:rsidR="00765122" w:rsidRPr="00742EC6" w:rsidRDefault="00765122" w:rsidP="00765122">
      <w:pPr>
        <w:pStyle w:val="Prrafodelista"/>
        <w:numPr>
          <w:ilvl w:val="0"/>
          <w:numId w:val="3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Alcoholismo</w:t>
      </w:r>
    </w:p>
    <w:p w:rsidR="00765122" w:rsidRPr="00742EC6" w:rsidRDefault="00765122" w:rsidP="00765122">
      <w:pPr>
        <w:pStyle w:val="Prrafodelista"/>
        <w:numPr>
          <w:ilvl w:val="0"/>
          <w:numId w:val="3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Drogadicción</w:t>
      </w:r>
    </w:p>
    <w:p w:rsidR="00765122" w:rsidRPr="00742EC6" w:rsidRDefault="00765122" w:rsidP="00765122">
      <w:pPr>
        <w:pStyle w:val="Prrafodelista"/>
        <w:numPr>
          <w:ilvl w:val="0"/>
          <w:numId w:val="3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Tabaquismo</w:t>
      </w:r>
    </w:p>
    <w:p w:rsidR="00765122" w:rsidRPr="00742EC6" w:rsidRDefault="00765122" w:rsidP="00765122">
      <w:pPr>
        <w:pStyle w:val="Prrafodelista"/>
        <w:numPr>
          <w:ilvl w:val="0"/>
          <w:numId w:val="3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Hacinamiento</w:t>
      </w:r>
    </w:p>
    <w:p w:rsidR="00765122" w:rsidRPr="00742EC6" w:rsidRDefault="00765122" w:rsidP="00765122">
      <w:pPr>
        <w:pStyle w:val="Prrafodelista"/>
        <w:numPr>
          <w:ilvl w:val="0"/>
          <w:numId w:val="3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Baja escolaridad</w:t>
      </w:r>
    </w:p>
    <w:p w:rsidR="00765122" w:rsidRPr="00742EC6" w:rsidRDefault="00765122" w:rsidP="00765122">
      <w:pPr>
        <w:pStyle w:val="Prrafodelista"/>
        <w:numPr>
          <w:ilvl w:val="0"/>
          <w:numId w:val="3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Bajo nivel socioeconómico</w:t>
      </w:r>
    </w:p>
    <w:p w:rsidR="00765122" w:rsidRPr="00742EC6" w:rsidRDefault="00765122" w:rsidP="00765122">
      <w:pPr>
        <w:pStyle w:val="NormalWeb"/>
        <w:spacing w:before="115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En el hombre buscar para modificar o aplazar el riesgo:</w:t>
      </w:r>
    </w:p>
    <w:p w:rsidR="00765122" w:rsidRPr="00742EC6" w:rsidRDefault="00765122" w:rsidP="00765122">
      <w:pPr>
        <w:pStyle w:val="Prrafodelista"/>
        <w:numPr>
          <w:ilvl w:val="0"/>
          <w:numId w:val="4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Alcoholismo y Drogadicción</w:t>
      </w:r>
    </w:p>
    <w:p w:rsidR="00765122" w:rsidRPr="00742EC6" w:rsidRDefault="00765122" w:rsidP="00765122">
      <w:pPr>
        <w:pStyle w:val="Prrafodelista"/>
        <w:numPr>
          <w:ilvl w:val="0"/>
          <w:numId w:val="5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Desnutrición</w:t>
      </w:r>
    </w:p>
    <w:p w:rsidR="00765122" w:rsidRPr="00742EC6" w:rsidRDefault="00765122" w:rsidP="00765122">
      <w:pPr>
        <w:pStyle w:val="Prrafodelista"/>
        <w:numPr>
          <w:ilvl w:val="0"/>
          <w:numId w:val="5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Enfermedades crónicas significativas</w:t>
      </w:r>
    </w:p>
    <w:p w:rsidR="00765122" w:rsidRPr="00742EC6" w:rsidRDefault="00765122" w:rsidP="00765122">
      <w:pPr>
        <w:pStyle w:val="Prrafodelista"/>
        <w:numPr>
          <w:ilvl w:val="0"/>
          <w:numId w:val="5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HTA y Diabetes Mellitus descompensada </w:t>
      </w:r>
    </w:p>
    <w:p w:rsidR="00765122" w:rsidRPr="00742EC6" w:rsidRDefault="00765122" w:rsidP="00765122">
      <w:pPr>
        <w:pStyle w:val="Prrafodelista"/>
        <w:numPr>
          <w:ilvl w:val="0"/>
          <w:numId w:val="5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Enfermedades hereditarias</w:t>
      </w:r>
    </w:p>
    <w:p w:rsidR="00765122" w:rsidRPr="00742EC6" w:rsidRDefault="00765122" w:rsidP="00765122">
      <w:pPr>
        <w:pStyle w:val="Prrafodelista"/>
        <w:numPr>
          <w:ilvl w:val="0"/>
          <w:numId w:val="5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lastRenderedPageBreak/>
        <w:t xml:space="preserve"> Antecedentes o infecciones de trasmisión sexual activa, incluido VIH/sida.</w:t>
      </w:r>
    </w:p>
    <w:p w:rsidR="00765122" w:rsidRPr="00742EC6" w:rsidRDefault="00765122" w:rsidP="00765122">
      <w:pPr>
        <w:pStyle w:val="NormalWeb"/>
        <w:spacing w:before="115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  <w:t>Nuevo enfoque del RPC.</w:t>
      </w:r>
    </w:p>
    <w:p w:rsidR="00765122" w:rsidRPr="00742EC6" w:rsidRDefault="00765122" w:rsidP="00765122">
      <w:pPr>
        <w:pStyle w:val="Prrafodelista"/>
        <w:numPr>
          <w:ilvl w:val="0"/>
          <w:numId w:val="6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Implica cambios en los procesos de atención a grupos específicos.</w:t>
      </w:r>
    </w:p>
    <w:p w:rsidR="00765122" w:rsidRPr="00742EC6" w:rsidRDefault="00765122" w:rsidP="00765122">
      <w:pPr>
        <w:pStyle w:val="Prrafodelista"/>
        <w:numPr>
          <w:ilvl w:val="0"/>
          <w:numId w:val="6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Prevenir a toda costa los embarazos en menores de 20 años.</w:t>
      </w:r>
    </w:p>
    <w:p w:rsidR="00765122" w:rsidRPr="00742EC6" w:rsidRDefault="00765122" w:rsidP="00765122">
      <w:pPr>
        <w:pStyle w:val="Prrafodelista"/>
        <w:numPr>
          <w:ilvl w:val="0"/>
          <w:numId w:val="6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 Favorecer los embarazos en grupos priorizados </w:t>
      </w: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(de</w:t>
      </w: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 20 a 30 años).</w:t>
      </w:r>
    </w:p>
    <w:p w:rsidR="00765122" w:rsidRPr="00742EC6" w:rsidRDefault="00765122" w:rsidP="00765122">
      <w:pPr>
        <w:pStyle w:val="Prrafodelista"/>
        <w:numPr>
          <w:ilvl w:val="0"/>
          <w:numId w:val="6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 Proporcionar elevada seguridad en el embarazo de mujeres después de los 30 años.</w:t>
      </w:r>
    </w:p>
    <w:p w:rsidR="00765122" w:rsidRPr="00742EC6" w:rsidRDefault="00765122" w:rsidP="00765122">
      <w:pPr>
        <w:pStyle w:val="Prrafodelista"/>
        <w:numPr>
          <w:ilvl w:val="0"/>
          <w:numId w:val="6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 Atenuar o eliminar los riesgos con celeridad, mientras tanto sugerir el uso de método anticonceptivo transitorio.</w:t>
      </w:r>
    </w:p>
    <w:p w:rsidR="00765122" w:rsidRPr="00742EC6" w:rsidRDefault="00765122" w:rsidP="00765122">
      <w:pPr>
        <w:pStyle w:val="NormalWeb"/>
        <w:spacing w:before="115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  <w:t>Grupos a priorizar.</w:t>
      </w:r>
    </w:p>
    <w:p w:rsidR="00765122" w:rsidRPr="00742EC6" w:rsidRDefault="00765122" w:rsidP="00765122">
      <w:pPr>
        <w:pStyle w:val="Prrafodelista"/>
        <w:numPr>
          <w:ilvl w:val="0"/>
          <w:numId w:val="7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Adolescentes</w:t>
      </w:r>
    </w:p>
    <w:p w:rsidR="00765122" w:rsidRPr="00742EC6" w:rsidRDefault="00765122" w:rsidP="00765122">
      <w:pPr>
        <w:pStyle w:val="Prrafodelista"/>
        <w:numPr>
          <w:ilvl w:val="0"/>
          <w:numId w:val="7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Mujeres de 30 y + años.</w:t>
      </w:r>
    </w:p>
    <w:p w:rsidR="00765122" w:rsidRPr="00742EC6" w:rsidRDefault="00765122" w:rsidP="00765122">
      <w:pPr>
        <w:pStyle w:val="Prrafodelista"/>
        <w:numPr>
          <w:ilvl w:val="0"/>
          <w:numId w:val="7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Desnutridas y anemia (30%)</w:t>
      </w:r>
    </w:p>
    <w:p w:rsidR="00765122" w:rsidRPr="00742EC6" w:rsidRDefault="00765122" w:rsidP="00765122">
      <w:pPr>
        <w:pStyle w:val="Prrafodelista"/>
        <w:numPr>
          <w:ilvl w:val="0"/>
          <w:numId w:val="7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Hipertensas (-20 y 30 y +)</w:t>
      </w:r>
    </w:p>
    <w:p w:rsidR="00765122" w:rsidRPr="00742EC6" w:rsidRDefault="00765122" w:rsidP="00765122">
      <w:pPr>
        <w:pStyle w:val="Prrafodelista"/>
        <w:numPr>
          <w:ilvl w:val="0"/>
          <w:numId w:val="7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Diabéticas (gestacional)</w:t>
      </w:r>
    </w:p>
    <w:p w:rsidR="00765122" w:rsidRPr="00742EC6" w:rsidRDefault="00765122" w:rsidP="00765122">
      <w:pPr>
        <w:pStyle w:val="Prrafodelista"/>
        <w:numPr>
          <w:ilvl w:val="0"/>
          <w:numId w:val="8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Cardiópatas</w:t>
      </w:r>
    </w:p>
    <w:p w:rsidR="00765122" w:rsidRPr="00742EC6" w:rsidRDefault="00765122" w:rsidP="00765122">
      <w:pPr>
        <w:pStyle w:val="Prrafodelista"/>
        <w:numPr>
          <w:ilvl w:val="0"/>
          <w:numId w:val="8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 Urosepsis silentes y conocidas </w:t>
      </w:r>
    </w:p>
    <w:p w:rsidR="00765122" w:rsidRPr="00742EC6" w:rsidRDefault="00765122" w:rsidP="00765122">
      <w:pPr>
        <w:pStyle w:val="Prrafodelista"/>
        <w:numPr>
          <w:ilvl w:val="0"/>
          <w:numId w:val="8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Riesgos de enfermedad tromboembólicas</w:t>
      </w:r>
    </w:p>
    <w:p w:rsidR="00765122" w:rsidRPr="00742EC6" w:rsidRDefault="00765122" w:rsidP="00765122">
      <w:pPr>
        <w:pStyle w:val="Prrafodelista"/>
        <w:numPr>
          <w:ilvl w:val="0"/>
          <w:numId w:val="8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Antecedentes obstétricos desfavorables ( bajo peso, mortinatos)</w:t>
      </w:r>
    </w:p>
    <w:p w:rsidR="00765122" w:rsidRPr="00742EC6" w:rsidRDefault="00765122" w:rsidP="00765122">
      <w:pPr>
        <w:pStyle w:val="Prrafodelista"/>
        <w:numPr>
          <w:ilvl w:val="0"/>
          <w:numId w:val="8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Riesgos genéticos (malformaciones)</w:t>
      </w:r>
    </w:p>
    <w:p w:rsidR="00765122" w:rsidRPr="00742EC6" w:rsidRDefault="00765122" w:rsidP="00765122">
      <w:pPr>
        <w:pStyle w:val="Prrafodelista"/>
        <w:numPr>
          <w:ilvl w:val="0"/>
          <w:numId w:val="8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 Otros riesgos relevantes resultantes del ejercicio de la estratificación.</w:t>
      </w:r>
    </w:p>
    <w:p w:rsidR="00765122" w:rsidRPr="00742EC6" w:rsidRDefault="00765122" w:rsidP="00765122">
      <w:pPr>
        <w:pStyle w:val="NormalWeb"/>
        <w:spacing w:before="115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  <w:t>Caso controlado.</w:t>
      </w:r>
    </w:p>
    <w:p w:rsidR="00765122" w:rsidRPr="00742EC6" w:rsidRDefault="00765122" w:rsidP="00765122">
      <w:pPr>
        <w:pStyle w:val="NormalWeb"/>
        <w:spacing w:before="115" w:beforeAutospacing="0" w:after="0" w:afterAutospacing="0" w:line="276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Cuando existe constancia en la historia clínica del pensamiento médico.</w:t>
      </w:r>
    </w:p>
    <w:p w:rsidR="00765122" w:rsidRPr="00742EC6" w:rsidRDefault="00765122" w:rsidP="00765122">
      <w:pPr>
        <w:pStyle w:val="NormalWeb"/>
        <w:spacing w:before="115" w:beforeAutospacing="0" w:after="0" w:afterAutospacing="0" w:line="276" w:lineRule="auto"/>
        <w:jc w:val="both"/>
        <w:textAlignment w:val="baseline"/>
        <w:rPr>
          <w:rFonts w:ascii="Arial" w:eastAsiaTheme="minorEastAsia" w:hAnsi="Arial" w:cs="Arial"/>
          <w:iCs/>
          <w:color w:val="000000" w:themeColor="text1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Se comprueba en la historia clínica un protocolo escrito que incluye negociación con la pareja, consentimiento informado de un plan o programa para modificar el riesgo, que propone el método anticonceptivo para el aplazamiento transitorio del embarazo.</w:t>
      </w:r>
    </w:p>
    <w:p w:rsidR="00765122" w:rsidRPr="00742EC6" w:rsidRDefault="00765122" w:rsidP="00765122">
      <w:pPr>
        <w:pStyle w:val="NormalWeb"/>
        <w:spacing w:before="115" w:beforeAutospacing="0" w:after="0" w:afterAutospacing="0" w:line="276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35239E" w:rsidRPr="00742EC6" w:rsidRDefault="0035239E" w:rsidP="00765122">
      <w:pPr>
        <w:pStyle w:val="NormalWeb"/>
        <w:spacing w:before="115" w:beforeAutospacing="0" w:after="0" w:afterAutospacing="0" w:line="276" w:lineRule="auto"/>
        <w:textAlignment w:val="baseline"/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</w:pPr>
    </w:p>
    <w:p w:rsidR="00765122" w:rsidRPr="00742EC6" w:rsidRDefault="00765122" w:rsidP="00765122">
      <w:pPr>
        <w:pStyle w:val="NormalWeb"/>
        <w:spacing w:before="115" w:beforeAutospacing="0" w:after="0" w:afterAutospacing="0" w:line="276" w:lineRule="auto"/>
        <w:textAlignment w:val="baseline"/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</w:pPr>
      <w:r w:rsidRPr="00742EC6"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  <w:t>Salen del control.</w:t>
      </w:r>
    </w:p>
    <w:p w:rsidR="0035239E" w:rsidRPr="00742EC6" w:rsidRDefault="0035239E" w:rsidP="00765122">
      <w:pPr>
        <w:pStyle w:val="NormalWeb"/>
        <w:spacing w:before="115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</w:p>
    <w:p w:rsidR="00765122" w:rsidRPr="00742EC6" w:rsidRDefault="00765122" w:rsidP="00765122">
      <w:pPr>
        <w:pStyle w:val="Prrafodelista"/>
        <w:numPr>
          <w:ilvl w:val="0"/>
          <w:numId w:val="9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Mujeres que usan anticoncepción permanente y no desean tener hijos.</w:t>
      </w:r>
    </w:p>
    <w:p w:rsidR="00765122" w:rsidRPr="00742EC6" w:rsidRDefault="00765122" w:rsidP="00765122">
      <w:pPr>
        <w:pStyle w:val="Prrafodelista"/>
        <w:numPr>
          <w:ilvl w:val="0"/>
          <w:numId w:val="9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 No desean tener hijos y usan método anticonceptivo de larga duración y eficacia.</w:t>
      </w:r>
    </w:p>
    <w:p w:rsidR="00765122" w:rsidRPr="00742EC6" w:rsidRDefault="00765122" w:rsidP="00765122">
      <w:pPr>
        <w:pStyle w:val="Prrafodelista"/>
        <w:numPr>
          <w:ilvl w:val="0"/>
          <w:numId w:val="9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 Desaparición de la condición de riesgo.</w:t>
      </w:r>
    </w:p>
    <w:p w:rsidR="00765122" w:rsidRPr="00742EC6" w:rsidRDefault="00765122" w:rsidP="00765122">
      <w:pPr>
        <w:spacing w:line="276" w:lineRule="auto"/>
        <w:ind w:left="720"/>
        <w:rPr>
          <w:rFonts w:ascii="Arial" w:hAnsi="Arial" w:cs="Arial"/>
          <w:sz w:val="28"/>
          <w:szCs w:val="28"/>
        </w:rPr>
      </w:pPr>
    </w:p>
    <w:p w:rsidR="00765122" w:rsidRPr="00742EC6" w:rsidRDefault="002F3C9F" w:rsidP="0076512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742EC6">
        <w:rPr>
          <w:rFonts w:ascii="Arial" w:hAnsi="Arial" w:cs="Arial"/>
          <w:b/>
          <w:bCs/>
          <w:sz w:val="28"/>
          <w:szCs w:val="28"/>
        </w:rPr>
        <w:t>¿Cómo</w:t>
      </w:r>
      <w:r w:rsidR="00765122" w:rsidRPr="00742EC6">
        <w:rPr>
          <w:rFonts w:ascii="Arial" w:hAnsi="Arial" w:cs="Arial"/>
          <w:b/>
          <w:bCs/>
          <w:sz w:val="28"/>
          <w:szCs w:val="28"/>
        </w:rPr>
        <w:t xml:space="preserve"> descartar el RPC</w:t>
      </w:r>
      <w:r w:rsidR="00140672" w:rsidRPr="00742EC6">
        <w:rPr>
          <w:rFonts w:ascii="Arial" w:hAnsi="Arial" w:cs="Arial"/>
          <w:b/>
          <w:bCs/>
          <w:sz w:val="28"/>
          <w:szCs w:val="28"/>
        </w:rPr>
        <w:t>?</w:t>
      </w:r>
      <w:r w:rsidRPr="00742EC6">
        <w:rPr>
          <w:rFonts w:ascii="Arial" w:hAnsi="Arial" w:cs="Arial"/>
          <w:b/>
          <w:bCs/>
          <w:sz w:val="28"/>
          <w:szCs w:val="28"/>
        </w:rPr>
        <w:t xml:space="preserve"> Diagrama</w:t>
      </w:r>
    </w:p>
    <w:p w:rsidR="002F3C9F" w:rsidRPr="00742EC6" w:rsidRDefault="002F3C9F" w:rsidP="0076512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2F3C9F" w:rsidRPr="00742EC6" w:rsidRDefault="002F3C9F" w:rsidP="002F3C9F">
      <w:pPr>
        <w:pStyle w:val="NormalWeb"/>
        <w:spacing w:before="115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  <w:t>Control y evaluación del Riesgo preconcepcional.</w:t>
      </w:r>
    </w:p>
    <w:p w:rsidR="002F3C9F" w:rsidRPr="00742EC6" w:rsidRDefault="002F3C9F" w:rsidP="002F3C9F">
      <w:pPr>
        <w:pStyle w:val="Prrafodelista"/>
        <w:numPr>
          <w:ilvl w:val="0"/>
          <w:numId w:val="10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 En el consultorio.</w:t>
      </w:r>
    </w:p>
    <w:p w:rsidR="002F3C9F" w:rsidRPr="00742EC6" w:rsidRDefault="002F3C9F" w:rsidP="002F3C9F">
      <w:pPr>
        <w:pStyle w:val="Prrafodelista"/>
        <w:numPr>
          <w:ilvl w:val="0"/>
          <w:numId w:val="10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En el terreno.</w:t>
      </w:r>
    </w:p>
    <w:p w:rsidR="002F3C9F" w:rsidRPr="00742EC6" w:rsidRDefault="002F3C9F" w:rsidP="002F3C9F">
      <w:pPr>
        <w:pStyle w:val="Prrafodelista"/>
        <w:numPr>
          <w:ilvl w:val="0"/>
          <w:numId w:val="10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Reunión del Grupo Básico de Trabajo. </w:t>
      </w:r>
    </w:p>
    <w:p w:rsidR="002F3C9F" w:rsidRPr="00742EC6" w:rsidRDefault="002F3C9F" w:rsidP="002F3C9F">
      <w:pPr>
        <w:pStyle w:val="Prrafodelista"/>
        <w:numPr>
          <w:ilvl w:val="0"/>
          <w:numId w:val="10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Reunión de evaluación del Programa Materno Infantil.</w:t>
      </w:r>
    </w:p>
    <w:p w:rsidR="002F3C9F" w:rsidRPr="00742EC6" w:rsidRDefault="002F3C9F" w:rsidP="002F3C9F">
      <w:pPr>
        <w:pStyle w:val="NormalWeb"/>
        <w:spacing w:before="115" w:beforeAutospacing="0" w:after="0" w:afterAutospacing="0" w:line="276" w:lineRule="auto"/>
        <w:jc w:val="center"/>
        <w:textAlignment w:val="baseline"/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</w:pPr>
    </w:p>
    <w:p w:rsidR="002F3C9F" w:rsidRPr="00742EC6" w:rsidRDefault="002F3C9F" w:rsidP="002F3C9F">
      <w:pPr>
        <w:pStyle w:val="NormalWeb"/>
        <w:spacing w:before="115" w:beforeAutospacing="0" w:after="0" w:afterAutospacing="0" w:line="276" w:lineRule="auto"/>
        <w:jc w:val="center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  <w:t>CONTROL SISTEMÁTICO ATENDINEDO A LAS NECESIDADES DE CADA MUJER.</w:t>
      </w:r>
    </w:p>
    <w:p w:rsidR="002F3C9F" w:rsidRPr="00742EC6" w:rsidRDefault="002F3C9F" w:rsidP="002F3C9F">
      <w:pPr>
        <w:pStyle w:val="NormalWeb"/>
        <w:spacing w:before="115" w:beforeAutospacing="0" w:after="0" w:afterAutospacing="0" w:line="276" w:lineRule="auto"/>
        <w:jc w:val="center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  <w:t>INVOLUCRA LOS PROFESORES DEL GBT Y OTRAS ESPECIALIDADES QUE CONSIDERE.</w:t>
      </w:r>
    </w:p>
    <w:p w:rsidR="002F3C9F" w:rsidRPr="00742EC6" w:rsidRDefault="002F3C9F" w:rsidP="002F3C9F">
      <w:pPr>
        <w:spacing w:line="276" w:lineRule="auto"/>
        <w:rPr>
          <w:rFonts w:ascii="Arial" w:hAnsi="Arial" w:cs="Arial"/>
          <w:sz w:val="28"/>
          <w:szCs w:val="28"/>
        </w:rPr>
      </w:pPr>
    </w:p>
    <w:p w:rsidR="002F3C9F" w:rsidRPr="00742EC6" w:rsidRDefault="002F3C9F" w:rsidP="002F3C9F">
      <w:pPr>
        <w:pStyle w:val="NormalWeb"/>
        <w:spacing w:before="115" w:beforeAutospacing="0" w:after="0" w:afterAutospacing="0" w:line="192" w:lineRule="auto"/>
        <w:textAlignment w:val="baseline"/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</w:pPr>
      <w:r w:rsidRPr="00742EC6"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  <w:t>Chequeo pregravídico.</w:t>
      </w:r>
    </w:p>
    <w:p w:rsidR="002F3C9F" w:rsidRPr="00742EC6" w:rsidRDefault="002F3C9F" w:rsidP="002F3C9F">
      <w:pPr>
        <w:pStyle w:val="NormalWeb"/>
        <w:spacing w:before="115" w:beforeAutospacing="0" w:after="0" w:afterAutospacing="0" w:line="192" w:lineRule="auto"/>
        <w:textAlignment w:val="baseline"/>
        <w:rPr>
          <w:rFonts w:ascii="Arial" w:hAnsi="Arial" w:cs="Arial"/>
          <w:sz w:val="28"/>
          <w:szCs w:val="28"/>
        </w:rPr>
      </w:pPr>
    </w:p>
    <w:p w:rsidR="002F3C9F" w:rsidRPr="00742EC6" w:rsidRDefault="002F3C9F" w:rsidP="002F3C9F">
      <w:pPr>
        <w:pStyle w:val="Prrafodelista"/>
        <w:numPr>
          <w:ilvl w:val="0"/>
          <w:numId w:val="11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Chequeo sistemático de la pareja que no ha sido considerada como </w:t>
      </w: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riesgo preconcepcional</w:t>
      </w: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 y que </w:t>
      </w:r>
      <w:r w:rsidRPr="00742EC6"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  <w:t>planifica su embarazo conscientemente seis meses antes de su fecundación.</w:t>
      </w:r>
    </w:p>
    <w:p w:rsidR="002F3C9F" w:rsidRPr="00742EC6" w:rsidRDefault="002F3C9F" w:rsidP="002F3C9F">
      <w:pPr>
        <w:pStyle w:val="Prrafodelista"/>
        <w:numPr>
          <w:ilvl w:val="2"/>
          <w:numId w:val="11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iCs/>
          <w:color w:val="000000" w:themeColor="text1"/>
          <w:sz w:val="28"/>
          <w:szCs w:val="28"/>
        </w:rPr>
        <w:t xml:space="preserve"> Estudio clínico.</w:t>
      </w:r>
    </w:p>
    <w:p w:rsidR="002F3C9F" w:rsidRPr="00742EC6" w:rsidRDefault="002F3C9F" w:rsidP="002F3C9F">
      <w:pPr>
        <w:pStyle w:val="Prrafodelista"/>
        <w:numPr>
          <w:ilvl w:val="2"/>
          <w:numId w:val="11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iCs/>
          <w:color w:val="000000" w:themeColor="text1"/>
          <w:sz w:val="28"/>
          <w:szCs w:val="28"/>
        </w:rPr>
        <w:t>Psicológico</w:t>
      </w:r>
    </w:p>
    <w:p w:rsidR="002F3C9F" w:rsidRPr="00742EC6" w:rsidRDefault="002F3C9F" w:rsidP="002F3C9F">
      <w:pPr>
        <w:pStyle w:val="Prrafodelista"/>
        <w:numPr>
          <w:ilvl w:val="2"/>
          <w:numId w:val="11"/>
        </w:numPr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iCs/>
          <w:color w:val="000000" w:themeColor="text1"/>
          <w:sz w:val="28"/>
          <w:szCs w:val="28"/>
        </w:rPr>
        <w:t xml:space="preserve"> Profiláctico </w:t>
      </w:r>
      <w:r w:rsidRPr="00742EC6">
        <w:rPr>
          <w:rFonts w:ascii="Arial" w:hAnsi="Arial" w:cs="Arial"/>
          <w:iCs/>
          <w:color w:val="000000" w:themeColor="text1"/>
          <w:sz w:val="28"/>
          <w:szCs w:val="28"/>
        </w:rPr>
        <w:t>(Muffer</w:t>
      </w:r>
      <w:r w:rsidRPr="00742EC6">
        <w:rPr>
          <w:rFonts w:ascii="Arial" w:hAnsi="Arial" w:cs="Arial"/>
          <w:iCs/>
          <w:color w:val="000000" w:themeColor="text1"/>
          <w:sz w:val="28"/>
          <w:szCs w:val="28"/>
        </w:rPr>
        <w:t xml:space="preserve"> y </w:t>
      </w:r>
      <w:r w:rsidRPr="00742EC6">
        <w:rPr>
          <w:rFonts w:ascii="Arial" w:hAnsi="Arial" w:cs="Arial"/>
          <w:iCs/>
          <w:color w:val="000000" w:themeColor="text1"/>
          <w:sz w:val="28"/>
          <w:szCs w:val="28"/>
        </w:rPr>
        <w:t>Ácido</w:t>
      </w:r>
      <w:r w:rsidRPr="00742EC6">
        <w:rPr>
          <w:rFonts w:ascii="Arial" w:hAnsi="Arial" w:cs="Arial"/>
          <w:iCs/>
          <w:color w:val="000000" w:themeColor="text1"/>
          <w:sz w:val="28"/>
          <w:szCs w:val="28"/>
        </w:rPr>
        <w:t xml:space="preserve"> fólico).</w:t>
      </w:r>
    </w:p>
    <w:p w:rsidR="00765122" w:rsidRPr="00742EC6" w:rsidRDefault="00765122" w:rsidP="002F3C9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2F3C9F" w:rsidRPr="00742EC6" w:rsidRDefault="002F3C9F" w:rsidP="006D09E0">
      <w:pPr>
        <w:pStyle w:val="NormalWeb"/>
        <w:spacing w:before="115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b/>
          <w:bCs/>
          <w:iCs/>
          <w:color w:val="000000" w:themeColor="text1"/>
          <w:sz w:val="28"/>
          <w:szCs w:val="28"/>
        </w:rPr>
        <w:t>Chequeo anual a toda la mujer en edad fértil y a su pareja.</w:t>
      </w:r>
    </w:p>
    <w:p w:rsidR="002F3C9F" w:rsidRPr="00742EC6" w:rsidRDefault="002F3C9F" w:rsidP="002F3C9F">
      <w:pPr>
        <w:pStyle w:val="Prrafodelista"/>
        <w:numPr>
          <w:ilvl w:val="0"/>
          <w:numId w:val="12"/>
        </w:numPr>
        <w:spacing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 A las parejas que no han sido caracterizada como riesgo preconcepcional, independientemente que refiera o no tener relaciones sexuales, pareja estable o deseos de tener hijos.</w:t>
      </w:r>
    </w:p>
    <w:p w:rsidR="002F3C9F" w:rsidRPr="00742EC6" w:rsidRDefault="002F3C9F" w:rsidP="002F3C9F">
      <w:pPr>
        <w:pStyle w:val="Prrafodelista"/>
        <w:numPr>
          <w:ilvl w:val="0"/>
          <w:numId w:val="12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El RPC será descartado en toda mujer sana.</w:t>
      </w:r>
    </w:p>
    <w:p w:rsidR="002F3C9F" w:rsidRPr="00742EC6" w:rsidRDefault="002F3C9F" w:rsidP="002F3C9F">
      <w:pPr>
        <w:pStyle w:val="Prrafodelista"/>
        <w:numPr>
          <w:ilvl w:val="0"/>
          <w:numId w:val="12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 Estudio clínico y psicológico de la pareja.</w:t>
      </w:r>
    </w:p>
    <w:p w:rsidR="002F3C9F" w:rsidRPr="00742EC6" w:rsidRDefault="002F3C9F" w:rsidP="002F3C9F">
      <w:pPr>
        <w:pStyle w:val="Prrafodelista"/>
        <w:numPr>
          <w:ilvl w:val="0"/>
          <w:numId w:val="12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 Una vez al año para descartar una condición de riesgo.</w:t>
      </w:r>
    </w:p>
    <w:p w:rsidR="002F3C9F" w:rsidRPr="00742EC6" w:rsidRDefault="002F3C9F" w:rsidP="002F3C9F">
      <w:pPr>
        <w:pStyle w:val="Prrafodelista"/>
        <w:numPr>
          <w:ilvl w:val="0"/>
          <w:numId w:val="12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>Complementación profiláctica.</w:t>
      </w:r>
    </w:p>
    <w:p w:rsidR="002F3C9F" w:rsidRPr="00742EC6" w:rsidRDefault="002F3C9F" w:rsidP="002F3C9F">
      <w:pPr>
        <w:pStyle w:val="Prrafodelista"/>
        <w:numPr>
          <w:ilvl w:val="0"/>
          <w:numId w:val="12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eastAsiaTheme="minorEastAsia" w:hAnsi="Arial" w:cs="Arial"/>
          <w:iCs/>
          <w:color w:val="000000" w:themeColor="text1"/>
          <w:sz w:val="28"/>
          <w:szCs w:val="28"/>
        </w:rPr>
        <w:t xml:space="preserve"> Orientación o información sobre acceso a métodos de Planificación Familiar y prevención de ITS – VIH/SIDA. </w:t>
      </w:r>
    </w:p>
    <w:p w:rsidR="002F3C9F" w:rsidRPr="00742EC6" w:rsidRDefault="002F3C9F" w:rsidP="002F3C9F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</w:p>
    <w:p w:rsidR="002F3C9F" w:rsidRPr="00742EC6" w:rsidRDefault="002F3C9F" w:rsidP="002F3C9F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42EC6">
        <w:rPr>
          <w:rFonts w:ascii="Arial" w:hAnsi="Arial" w:cs="Arial"/>
          <w:b/>
          <w:sz w:val="28"/>
          <w:szCs w:val="28"/>
          <w:u w:val="single"/>
        </w:rPr>
        <w:t>Lo que el médico y enfermera debe saber sobre Planificación familiar y Anticoncepción.</w:t>
      </w:r>
    </w:p>
    <w:p w:rsidR="002F3C9F" w:rsidRPr="00742EC6" w:rsidRDefault="002F3C9F" w:rsidP="002F3C9F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</w:p>
    <w:p w:rsidR="002F3C9F" w:rsidRPr="00742EC6" w:rsidRDefault="002F3C9F" w:rsidP="002F3C9F">
      <w:pPr>
        <w:pStyle w:val="Prrafodelista"/>
        <w:numPr>
          <w:ilvl w:val="0"/>
          <w:numId w:val="14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 xml:space="preserve">La anticoncepción hormonal de emergencia. </w:t>
      </w:r>
    </w:p>
    <w:p w:rsidR="002F3C9F" w:rsidRPr="00742EC6" w:rsidRDefault="002F3C9F" w:rsidP="002F3C9F">
      <w:pPr>
        <w:pStyle w:val="Prrafodelista"/>
        <w:numPr>
          <w:ilvl w:val="0"/>
          <w:numId w:val="14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 xml:space="preserve">Orientaciones sobre la </w:t>
      </w:r>
      <w:r w:rsidRPr="00742EC6">
        <w:rPr>
          <w:rFonts w:ascii="Arial" w:hAnsi="Arial" w:cs="Arial"/>
          <w:sz w:val="28"/>
          <w:szCs w:val="28"/>
        </w:rPr>
        <w:t xml:space="preserve">anticoncepción hormonal de emergencia. </w:t>
      </w:r>
    </w:p>
    <w:p w:rsidR="002F3C9F" w:rsidRPr="00742EC6" w:rsidRDefault="002F3C9F" w:rsidP="002F3C9F">
      <w:pPr>
        <w:pStyle w:val="Prrafodelista"/>
        <w:numPr>
          <w:ilvl w:val="0"/>
          <w:numId w:val="14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Anticonceptivos hormonales.</w:t>
      </w:r>
    </w:p>
    <w:p w:rsidR="002F3C9F" w:rsidRPr="00742EC6" w:rsidRDefault="002F3C9F" w:rsidP="002F3C9F">
      <w:pPr>
        <w:pStyle w:val="Prrafodelista"/>
        <w:numPr>
          <w:ilvl w:val="0"/>
          <w:numId w:val="14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Orientaciones para los anticonceptivos orales</w:t>
      </w:r>
      <w:r w:rsidR="00367EE7" w:rsidRPr="00742EC6">
        <w:rPr>
          <w:rFonts w:ascii="Arial" w:hAnsi="Arial" w:cs="Arial"/>
          <w:sz w:val="28"/>
          <w:szCs w:val="28"/>
        </w:rPr>
        <w:t>.</w:t>
      </w:r>
    </w:p>
    <w:p w:rsidR="00367EE7" w:rsidRPr="00742EC6" w:rsidRDefault="00367EE7" w:rsidP="00367EE7">
      <w:pPr>
        <w:pStyle w:val="Prrafodelista"/>
        <w:numPr>
          <w:ilvl w:val="0"/>
          <w:numId w:val="14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Orientaciones para los anticonceptivos orales.</w:t>
      </w:r>
    </w:p>
    <w:p w:rsidR="00367EE7" w:rsidRPr="00742EC6" w:rsidRDefault="00367EE7" w:rsidP="002F3C9F">
      <w:pPr>
        <w:pStyle w:val="Prrafodelista"/>
        <w:numPr>
          <w:ilvl w:val="0"/>
          <w:numId w:val="14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Dispositivos intrauterinos.</w:t>
      </w:r>
    </w:p>
    <w:p w:rsidR="00367EE7" w:rsidRPr="00742EC6" w:rsidRDefault="00367EE7" w:rsidP="002F3C9F">
      <w:pPr>
        <w:pStyle w:val="Prrafodelista"/>
        <w:numPr>
          <w:ilvl w:val="0"/>
          <w:numId w:val="14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Doble protección</w:t>
      </w:r>
    </w:p>
    <w:p w:rsidR="00367EE7" w:rsidRPr="00742EC6" w:rsidRDefault="00367EE7" w:rsidP="002F3C9F">
      <w:pPr>
        <w:pStyle w:val="Prrafodelista"/>
        <w:numPr>
          <w:ilvl w:val="0"/>
          <w:numId w:val="14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La orientación en la planificación familiar.</w:t>
      </w:r>
    </w:p>
    <w:p w:rsidR="00367EE7" w:rsidRPr="00742EC6" w:rsidRDefault="00367EE7" w:rsidP="00367EE7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</w:p>
    <w:p w:rsidR="00367EE7" w:rsidRPr="00742EC6" w:rsidRDefault="00367EE7" w:rsidP="00367EE7">
      <w:pPr>
        <w:spacing w:line="360" w:lineRule="auto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42EC6">
        <w:rPr>
          <w:rFonts w:ascii="Arial" w:hAnsi="Arial" w:cs="Arial"/>
          <w:b/>
          <w:sz w:val="28"/>
          <w:szCs w:val="28"/>
          <w:u w:val="single"/>
        </w:rPr>
        <w:t>Riesgo obstétrico y perinatal</w:t>
      </w:r>
    </w:p>
    <w:p w:rsidR="00C274E1" w:rsidRPr="00742EC6" w:rsidRDefault="00C274E1" w:rsidP="00C274E1">
      <w:pPr>
        <w:pStyle w:val="Prrafodelista"/>
        <w:numPr>
          <w:ilvl w:val="0"/>
          <w:numId w:val="15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Objetivo</w:t>
      </w:r>
    </w:p>
    <w:p w:rsidR="00C274E1" w:rsidRPr="00742EC6" w:rsidRDefault="00C274E1" w:rsidP="00C274E1">
      <w:pPr>
        <w:pStyle w:val="Prrafodelista"/>
        <w:numPr>
          <w:ilvl w:val="0"/>
          <w:numId w:val="15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Cuáles son las mujeres que se priorizan.</w:t>
      </w:r>
    </w:p>
    <w:p w:rsidR="00C274E1" w:rsidRPr="00742EC6" w:rsidRDefault="00C274E1" w:rsidP="00C274E1">
      <w:pPr>
        <w:pStyle w:val="Prrafodelista"/>
        <w:numPr>
          <w:ilvl w:val="0"/>
          <w:numId w:val="15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El nuevo enfoque metodológico para la atención al riesgo obstétrico perinatal.</w:t>
      </w:r>
    </w:p>
    <w:p w:rsidR="00C274E1" w:rsidRPr="00742EC6" w:rsidRDefault="00C274E1" w:rsidP="00C274E1">
      <w:pPr>
        <w:pStyle w:val="Prrafodelista"/>
        <w:numPr>
          <w:ilvl w:val="0"/>
          <w:numId w:val="15"/>
        </w:num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Condiciones a vigilar.</w:t>
      </w:r>
    </w:p>
    <w:p w:rsidR="00C274E1" w:rsidRPr="00742EC6" w:rsidRDefault="00C274E1" w:rsidP="00C274E1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</w:p>
    <w:p w:rsidR="00F173C9" w:rsidRPr="00742EC6" w:rsidRDefault="00F173C9" w:rsidP="00F173C9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42EC6">
        <w:rPr>
          <w:rFonts w:ascii="Arial" w:hAnsi="Arial" w:cs="Arial"/>
          <w:b/>
          <w:sz w:val="28"/>
          <w:szCs w:val="28"/>
          <w:u w:val="single"/>
        </w:rPr>
        <w:t>Recomendaciones para la Medición de altura uterina.</w:t>
      </w:r>
    </w:p>
    <w:p w:rsidR="00F173C9" w:rsidRPr="00742EC6" w:rsidRDefault="00F173C9" w:rsidP="00F173C9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173C9" w:rsidRPr="00742EC6" w:rsidRDefault="00F173C9" w:rsidP="0008112B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Recomendaciones para la Medición de altura uterina.</w:t>
      </w:r>
    </w:p>
    <w:p w:rsidR="00F173C9" w:rsidRPr="00742EC6" w:rsidRDefault="0008112B" w:rsidP="0008112B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Condiciones que deben ser evaluadas antes de realizar la mensuración.</w:t>
      </w:r>
    </w:p>
    <w:p w:rsidR="0008112B" w:rsidRPr="00742EC6" w:rsidRDefault="0008112B" w:rsidP="0008112B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 xml:space="preserve">Cuándo se necesitan investigaciones adicionales. </w:t>
      </w:r>
    </w:p>
    <w:p w:rsidR="00140672" w:rsidRPr="00742EC6" w:rsidRDefault="00140672" w:rsidP="0008112B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42EC6">
        <w:rPr>
          <w:rFonts w:ascii="Arial" w:hAnsi="Arial" w:cs="Arial"/>
          <w:b/>
          <w:sz w:val="28"/>
          <w:szCs w:val="28"/>
          <w:u w:val="single"/>
        </w:rPr>
        <w:t>Puerperio</w:t>
      </w:r>
    </w:p>
    <w:p w:rsidR="00140672" w:rsidRPr="00742EC6" w:rsidRDefault="00140672" w:rsidP="0014067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Conceptualización.</w:t>
      </w:r>
    </w:p>
    <w:p w:rsidR="00140672" w:rsidRPr="00742EC6" w:rsidRDefault="00140672" w:rsidP="0014067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Clasificación: Inmediato, mediato y tardío.</w:t>
      </w:r>
    </w:p>
    <w:p w:rsidR="00140672" w:rsidRPr="00742EC6" w:rsidRDefault="00140672" w:rsidP="0014067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 xml:space="preserve">Que se debe enfatizar en el examen físico. </w:t>
      </w:r>
    </w:p>
    <w:p w:rsidR="00140672" w:rsidRPr="00742EC6" w:rsidRDefault="00140672" w:rsidP="0014067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Seguimiento a la puérpera. Hay que poner el seguimiento a la puérpera dictadas por las medidas emergentes.</w:t>
      </w:r>
    </w:p>
    <w:p w:rsidR="00F173C9" w:rsidRPr="00742EC6" w:rsidRDefault="00F173C9" w:rsidP="00F173C9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173C9" w:rsidRPr="00742EC6" w:rsidRDefault="00140672" w:rsidP="00F173C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42EC6">
        <w:rPr>
          <w:rFonts w:ascii="Arial" w:hAnsi="Arial" w:cs="Arial"/>
          <w:b/>
          <w:sz w:val="28"/>
          <w:szCs w:val="28"/>
          <w:u w:val="single"/>
        </w:rPr>
        <w:t>Síndrome de respuesta inflamatoria sistémica</w:t>
      </w:r>
      <w:r w:rsidR="006D09E0" w:rsidRPr="00742EC6">
        <w:rPr>
          <w:rFonts w:ascii="Arial" w:hAnsi="Arial" w:cs="Arial"/>
          <w:b/>
          <w:sz w:val="28"/>
          <w:szCs w:val="28"/>
          <w:u w:val="single"/>
        </w:rPr>
        <w:t xml:space="preserve"> (SRIS)</w:t>
      </w:r>
      <w:r w:rsidRPr="00742EC6">
        <w:rPr>
          <w:rFonts w:ascii="Arial" w:hAnsi="Arial" w:cs="Arial"/>
          <w:b/>
          <w:sz w:val="28"/>
          <w:szCs w:val="28"/>
          <w:u w:val="single"/>
        </w:rPr>
        <w:t>.</w:t>
      </w:r>
    </w:p>
    <w:p w:rsidR="00140672" w:rsidRPr="00742EC6" w:rsidRDefault="00140672" w:rsidP="00F173C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09E0" w:rsidRPr="00742EC6" w:rsidRDefault="006D09E0" w:rsidP="006D09E0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Conceptualización de:</w:t>
      </w:r>
    </w:p>
    <w:p w:rsidR="006D09E0" w:rsidRPr="00742EC6" w:rsidRDefault="006D09E0" w:rsidP="006D09E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 xml:space="preserve"> Infección</w:t>
      </w:r>
    </w:p>
    <w:p w:rsidR="006D09E0" w:rsidRPr="00742EC6" w:rsidRDefault="006D09E0" w:rsidP="006D09E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Bacteriemia</w:t>
      </w:r>
    </w:p>
    <w:p w:rsidR="006D09E0" w:rsidRPr="00742EC6" w:rsidRDefault="006D09E0" w:rsidP="006D09E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 xml:space="preserve">Síndrome de respuesta inflamatoria </w:t>
      </w:r>
      <w:r w:rsidRPr="00742EC6">
        <w:rPr>
          <w:rFonts w:ascii="Arial" w:hAnsi="Arial" w:cs="Arial"/>
          <w:sz w:val="28"/>
          <w:szCs w:val="28"/>
        </w:rPr>
        <w:t>sistémica</w:t>
      </w:r>
    </w:p>
    <w:p w:rsidR="006D09E0" w:rsidRPr="00742EC6" w:rsidRDefault="006D09E0" w:rsidP="006D09E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Sepsis.</w:t>
      </w:r>
    </w:p>
    <w:p w:rsidR="00140672" w:rsidRPr="00742EC6" w:rsidRDefault="006D09E0" w:rsidP="006D09E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Sepsis grave.</w:t>
      </w:r>
    </w:p>
    <w:p w:rsidR="006D09E0" w:rsidRPr="00742EC6" w:rsidRDefault="006D09E0" w:rsidP="006D09E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Cómo se calcula la PAM.</w:t>
      </w:r>
    </w:p>
    <w:p w:rsidR="006D09E0" w:rsidRPr="00742EC6" w:rsidRDefault="006D09E0" w:rsidP="006D09E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Sepsis grave de alto riesgo.</w:t>
      </w:r>
    </w:p>
    <w:p w:rsidR="006D09E0" w:rsidRPr="00742EC6" w:rsidRDefault="006D09E0" w:rsidP="006D09E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Choque séptico refractario</w:t>
      </w:r>
    </w:p>
    <w:p w:rsidR="006D09E0" w:rsidRPr="00742EC6" w:rsidRDefault="006D09E0" w:rsidP="006D09E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 xml:space="preserve">Síndrome de disfunción </w:t>
      </w:r>
      <w:proofErr w:type="spellStart"/>
      <w:r w:rsidRPr="00742EC6">
        <w:rPr>
          <w:rFonts w:ascii="Arial" w:hAnsi="Arial" w:cs="Arial"/>
          <w:sz w:val="28"/>
          <w:szCs w:val="28"/>
        </w:rPr>
        <w:t>multiorgánico</w:t>
      </w:r>
      <w:proofErr w:type="spellEnd"/>
      <w:r w:rsidRPr="00742EC6">
        <w:rPr>
          <w:rFonts w:ascii="Arial" w:hAnsi="Arial" w:cs="Arial"/>
          <w:sz w:val="28"/>
          <w:szCs w:val="28"/>
        </w:rPr>
        <w:t>.</w:t>
      </w:r>
    </w:p>
    <w:p w:rsidR="006D09E0" w:rsidRPr="00742EC6" w:rsidRDefault="006D09E0" w:rsidP="006D09E0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Causas de sepsis</w:t>
      </w:r>
    </w:p>
    <w:p w:rsidR="006D09E0" w:rsidRPr="00742EC6" w:rsidRDefault="006D09E0" w:rsidP="006D09E0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Concepto de infección puerperal.</w:t>
      </w:r>
    </w:p>
    <w:p w:rsidR="006D09E0" w:rsidRPr="00742EC6" w:rsidRDefault="006D09E0" w:rsidP="006D09E0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Factores predisponentes, relacionados con el riesgo general de infección.</w:t>
      </w:r>
    </w:p>
    <w:p w:rsidR="006D09E0" w:rsidRPr="00742EC6" w:rsidRDefault="006D09E0" w:rsidP="006D09E0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Profilaxis de la infección puerperal.</w:t>
      </w:r>
    </w:p>
    <w:p w:rsidR="006D09E0" w:rsidRPr="00742EC6" w:rsidRDefault="006D09E0" w:rsidP="006D09E0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Diagnóstico</w:t>
      </w:r>
      <w:r w:rsidRPr="00742EC6">
        <w:rPr>
          <w:rFonts w:ascii="Arial" w:hAnsi="Arial" w:cs="Arial"/>
          <w:sz w:val="28"/>
          <w:szCs w:val="28"/>
        </w:rPr>
        <w:t xml:space="preserve"> de la infección puerperal.</w:t>
      </w:r>
    </w:p>
    <w:p w:rsidR="006D09E0" w:rsidRPr="00742EC6" w:rsidRDefault="006D09E0" w:rsidP="006D09E0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Conducta</w:t>
      </w:r>
    </w:p>
    <w:p w:rsidR="008C5B6A" w:rsidRPr="00742EC6" w:rsidRDefault="008C5B6A" w:rsidP="008C5B6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8C5B6A" w:rsidRPr="00742EC6" w:rsidRDefault="008C5B6A" w:rsidP="008C5B6A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42EC6">
        <w:rPr>
          <w:rFonts w:ascii="Arial" w:hAnsi="Arial" w:cs="Arial"/>
          <w:b/>
          <w:sz w:val="28"/>
          <w:szCs w:val="28"/>
          <w:u w:val="single"/>
        </w:rPr>
        <w:t>Manejo clínico de gestante con VIH.</w:t>
      </w:r>
    </w:p>
    <w:p w:rsidR="008C5B6A" w:rsidRPr="00742EC6" w:rsidRDefault="008C5B6A" w:rsidP="008C5B6A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C5B6A" w:rsidRPr="00742EC6" w:rsidRDefault="008C5B6A" w:rsidP="008C5B6A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Manejo clínico de gestante con VIH.</w:t>
      </w:r>
    </w:p>
    <w:p w:rsidR="008C5B6A" w:rsidRPr="00742EC6" w:rsidRDefault="008C5B6A" w:rsidP="008C5B6A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 xml:space="preserve">Protocolo nacional para la prevención de la </w:t>
      </w:r>
      <w:r w:rsidR="006A2350" w:rsidRPr="00742EC6">
        <w:rPr>
          <w:rFonts w:ascii="Arial" w:hAnsi="Arial" w:cs="Arial"/>
          <w:sz w:val="28"/>
          <w:szCs w:val="28"/>
        </w:rPr>
        <w:t>trasmisión</w:t>
      </w:r>
      <w:r w:rsidRPr="00742EC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5239E" w:rsidRPr="00742EC6">
        <w:rPr>
          <w:rFonts w:ascii="Arial" w:hAnsi="Arial" w:cs="Arial"/>
          <w:sz w:val="28"/>
          <w:szCs w:val="28"/>
        </w:rPr>
        <w:t>materno</w:t>
      </w:r>
      <w:proofErr w:type="gramEnd"/>
      <w:r w:rsidRPr="00742EC6">
        <w:rPr>
          <w:rFonts w:ascii="Arial" w:hAnsi="Arial" w:cs="Arial"/>
          <w:sz w:val="28"/>
          <w:szCs w:val="28"/>
        </w:rPr>
        <w:t xml:space="preserve"> infantil.</w:t>
      </w:r>
    </w:p>
    <w:p w:rsidR="0035239E" w:rsidRPr="00742EC6" w:rsidRDefault="0035239E" w:rsidP="0035239E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Objetivo del m</w:t>
      </w:r>
      <w:r w:rsidRPr="00742EC6">
        <w:rPr>
          <w:rFonts w:ascii="Arial" w:hAnsi="Arial" w:cs="Arial"/>
          <w:sz w:val="28"/>
          <w:szCs w:val="28"/>
        </w:rPr>
        <w:t>anejo clínico de gestante con VIH.</w:t>
      </w:r>
    </w:p>
    <w:p w:rsidR="008C5B6A" w:rsidRPr="00742EC6" w:rsidRDefault="008C5B6A" w:rsidP="0035239E">
      <w:pPr>
        <w:spacing w:line="276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8C5B6A" w:rsidRPr="00742EC6" w:rsidRDefault="008C5B6A" w:rsidP="008C5B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5239E" w:rsidRPr="00742EC6" w:rsidRDefault="0035239E" w:rsidP="0035239E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42EC6">
        <w:rPr>
          <w:rFonts w:ascii="Arial" w:hAnsi="Arial" w:cs="Arial"/>
          <w:b/>
          <w:sz w:val="28"/>
          <w:szCs w:val="28"/>
          <w:u w:val="single"/>
        </w:rPr>
        <w:t>Embarazo y nutrición.</w:t>
      </w:r>
    </w:p>
    <w:p w:rsidR="0035239E" w:rsidRPr="00742EC6" w:rsidRDefault="0035239E" w:rsidP="0035239E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239E" w:rsidRPr="00742EC6" w:rsidRDefault="0035239E" w:rsidP="0035239E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239E" w:rsidRPr="00742EC6" w:rsidRDefault="00CB7F0B" w:rsidP="00CB7F0B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 xml:space="preserve">Consejos prácticos </w:t>
      </w:r>
      <w:r w:rsidR="00156008" w:rsidRPr="00742EC6">
        <w:rPr>
          <w:rFonts w:ascii="Arial" w:hAnsi="Arial" w:cs="Arial"/>
          <w:sz w:val="28"/>
          <w:szCs w:val="28"/>
        </w:rPr>
        <w:t>a impartir:</w:t>
      </w:r>
    </w:p>
    <w:p w:rsidR="00CB7F0B" w:rsidRPr="00742EC6" w:rsidRDefault="00CB7F0B" w:rsidP="00CB7F0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B7F0B" w:rsidRPr="00742EC6" w:rsidRDefault="00CB7F0B" w:rsidP="00CB7F0B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Durante la gestación</w:t>
      </w:r>
    </w:p>
    <w:p w:rsidR="00CB7F0B" w:rsidRPr="00742EC6" w:rsidRDefault="00CB7F0B" w:rsidP="00CB7F0B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 xml:space="preserve">Procedimientos </w:t>
      </w:r>
      <w:r w:rsidR="00156008" w:rsidRPr="00742EC6">
        <w:rPr>
          <w:rFonts w:ascii="Arial" w:hAnsi="Arial" w:cs="Arial"/>
          <w:sz w:val="28"/>
          <w:szCs w:val="28"/>
        </w:rPr>
        <w:t>para la evaluación nutricional de la embarazada adulta.</w:t>
      </w:r>
    </w:p>
    <w:p w:rsidR="00156008" w:rsidRPr="00742EC6" w:rsidRDefault="00156008" w:rsidP="00CB7F0B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Tablas de evolución ponderal por rangos de estatura.</w:t>
      </w:r>
    </w:p>
    <w:p w:rsidR="00156008" w:rsidRPr="00742EC6" w:rsidRDefault="00156008" w:rsidP="00CB7F0B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Ganancia de peso, según el estado nutricional a la captación y el período gestacional.</w:t>
      </w:r>
    </w:p>
    <w:p w:rsidR="00156008" w:rsidRPr="00742EC6" w:rsidRDefault="00156008" w:rsidP="00CB7F0B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Procedimientos para la evaluación nutricional de la embarazada adolescente.</w:t>
      </w:r>
    </w:p>
    <w:p w:rsidR="00156008" w:rsidRPr="00742EC6" w:rsidRDefault="00156008" w:rsidP="00156008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 xml:space="preserve">  </w:t>
      </w:r>
      <w:r w:rsidRPr="00742EC6">
        <w:rPr>
          <w:rFonts w:ascii="Arial" w:hAnsi="Arial" w:cs="Arial"/>
          <w:sz w:val="28"/>
          <w:szCs w:val="28"/>
        </w:rPr>
        <w:t xml:space="preserve">Procedimientos para la evaluación nutricional de la embarazada </w:t>
      </w:r>
      <w:r w:rsidRPr="00742EC6">
        <w:rPr>
          <w:rFonts w:ascii="Arial" w:hAnsi="Arial" w:cs="Arial"/>
          <w:sz w:val="28"/>
          <w:szCs w:val="28"/>
        </w:rPr>
        <w:t>con gemelares</w:t>
      </w:r>
      <w:r w:rsidRPr="00742EC6">
        <w:rPr>
          <w:rFonts w:ascii="Arial" w:hAnsi="Arial" w:cs="Arial"/>
          <w:sz w:val="28"/>
          <w:szCs w:val="28"/>
        </w:rPr>
        <w:t>.</w:t>
      </w:r>
    </w:p>
    <w:p w:rsidR="00156008" w:rsidRPr="00742EC6" w:rsidRDefault="00156008" w:rsidP="00CB7F0B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Valoración alimentaria de las embarazadas.</w:t>
      </w:r>
    </w:p>
    <w:p w:rsidR="00156008" w:rsidRPr="00742EC6" w:rsidRDefault="00156008" w:rsidP="00CB7F0B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Patrones nutricionales para embarazadas y madres que lactan.</w:t>
      </w:r>
    </w:p>
    <w:p w:rsidR="00156008" w:rsidRPr="00742EC6" w:rsidRDefault="00156008" w:rsidP="00156008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42EC6" w:rsidRPr="00742EC6" w:rsidRDefault="00742EC6" w:rsidP="00156008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42EC6" w:rsidRPr="00742EC6" w:rsidRDefault="00742EC6" w:rsidP="00156008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56008" w:rsidRPr="00742EC6" w:rsidRDefault="00156008" w:rsidP="00156008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42EC6">
        <w:rPr>
          <w:rFonts w:ascii="Arial" w:hAnsi="Arial" w:cs="Arial"/>
          <w:b/>
          <w:sz w:val="28"/>
          <w:szCs w:val="28"/>
          <w:u w:val="single"/>
        </w:rPr>
        <w:t>Anemia y Embarazo.</w:t>
      </w:r>
    </w:p>
    <w:p w:rsidR="00156008" w:rsidRPr="00742EC6" w:rsidRDefault="00156008" w:rsidP="00156008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156008" w:rsidRPr="00742EC6" w:rsidRDefault="00156008" w:rsidP="00156008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Concepto</w:t>
      </w:r>
    </w:p>
    <w:p w:rsidR="00156008" w:rsidRPr="00742EC6" w:rsidRDefault="00156008" w:rsidP="00156008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Rangos de referencia de variables hematológicas durante la gestación.</w:t>
      </w:r>
    </w:p>
    <w:p w:rsidR="00156008" w:rsidRPr="00742EC6" w:rsidRDefault="00156008" w:rsidP="00156008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Valores de la hemoglobina</w:t>
      </w:r>
    </w:p>
    <w:p w:rsidR="00156008" w:rsidRPr="00742EC6" w:rsidRDefault="00156008" w:rsidP="00156008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Prevención y tratamiento de la anemia por déficit de hierro durante el embarazo.</w:t>
      </w:r>
    </w:p>
    <w:p w:rsidR="00156008" w:rsidRPr="00742EC6" w:rsidRDefault="00156008" w:rsidP="00156008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Productos que contienen hierro</w:t>
      </w:r>
      <w:r w:rsidR="00742EC6" w:rsidRPr="00742EC6">
        <w:rPr>
          <w:rFonts w:ascii="Arial" w:hAnsi="Arial" w:cs="Arial"/>
          <w:sz w:val="28"/>
          <w:szCs w:val="28"/>
        </w:rPr>
        <w:t>.</w:t>
      </w:r>
    </w:p>
    <w:p w:rsidR="00742EC6" w:rsidRPr="00742EC6" w:rsidRDefault="00742EC6" w:rsidP="00156008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Alimentación adecuada durante el embarazo.</w:t>
      </w:r>
    </w:p>
    <w:p w:rsidR="00742EC6" w:rsidRPr="00742EC6" w:rsidRDefault="00742EC6" w:rsidP="00156008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>Guías de alimentos a consumir diariamente.</w:t>
      </w:r>
    </w:p>
    <w:p w:rsidR="00742EC6" w:rsidRPr="00742EC6" w:rsidRDefault="00742EC6" w:rsidP="00156008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42EC6">
        <w:rPr>
          <w:rFonts w:ascii="Arial" w:hAnsi="Arial" w:cs="Arial"/>
          <w:sz w:val="28"/>
          <w:szCs w:val="28"/>
        </w:rPr>
        <w:t xml:space="preserve">Suplementos a base de hierro </w:t>
      </w:r>
      <w:proofErr w:type="spellStart"/>
      <w:r w:rsidRPr="00742EC6">
        <w:rPr>
          <w:rFonts w:ascii="Arial" w:hAnsi="Arial" w:cs="Arial"/>
          <w:sz w:val="28"/>
          <w:szCs w:val="28"/>
        </w:rPr>
        <w:t>hemínico</w:t>
      </w:r>
      <w:proofErr w:type="spellEnd"/>
      <w:r w:rsidRPr="00742EC6">
        <w:rPr>
          <w:rFonts w:ascii="Arial" w:hAnsi="Arial" w:cs="Arial"/>
          <w:sz w:val="28"/>
          <w:szCs w:val="28"/>
        </w:rPr>
        <w:t>.</w:t>
      </w:r>
    </w:p>
    <w:p w:rsidR="0035239E" w:rsidRPr="00742EC6" w:rsidRDefault="0035239E" w:rsidP="0035239E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09E0" w:rsidRPr="00742EC6" w:rsidRDefault="006D09E0" w:rsidP="0035239E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173C9" w:rsidRPr="00742EC6" w:rsidRDefault="00F173C9" w:rsidP="00C274E1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274E1" w:rsidRPr="00742EC6" w:rsidRDefault="00C274E1" w:rsidP="00C274E1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</w:p>
    <w:p w:rsidR="002F3C9F" w:rsidRPr="00742EC6" w:rsidRDefault="002F3C9F" w:rsidP="002F3C9F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</w:p>
    <w:p w:rsidR="002F3C9F" w:rsidRPr="00742EC6" w:rsidRDefault="002F3C9F" w:rsidP="002F3C9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sectPr w:rsidR="002F3C9F" w:rsidRPr="00742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1034"/>
    <w:multiLevelType w:val="hybridMultilevel"/>
    <w:tmpl w:val="BBD2F922"/>
    <w:lvl w:ilvl="0" w:tplc="565A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D8D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4E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0C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AA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84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60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24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6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417A38"/>
    <w:multiLevelType w:val="hybridMultilevel"/>
    <w:tmpl w:val="F9BC244C"/>
    <w:lvl w:ilvl="0" w:tplc="CCE85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CC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2B016">
      <w:start w:val="4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26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C2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84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2B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8E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00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8A6710"/>
    <w:multiLevelType w:val="hybridMultilevel"/>
    <w:tmpl w:val="5560D5BC"/>
    <w:lvl w:ilvl="0" w:tplc="0F6C1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8D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F8F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2D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C84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E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2B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864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8A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EC3862"/>
    <w:multiLevelType w:val="hybridMultilevel"/>
    <w:tmpl w:val="A3880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6297B"/>
    <w:multiLevelType w:val="hybridMultilevel"/>
    <w:tmpl w:val="6EC60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B2128"/>
    <w:multiLevelType w:val="hybridMultilevel"/>
    <w:tmpl w:val="495CDAC0"/>
    <w:lvl w:ilvl="0" w:tplc="7EDC4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0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AC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A27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BAC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583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7E5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48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FA4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5B6004"/>
    <w:multiLevelType w:val="hybridMultilevel"/>
    <w:tmpl w:val="8B78F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2186B"/>
    <w:multiLevelType w:val="hybridMultilevel"/>
    <w:tmpl w:val="CF185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44E5E"/>
    <w:multiLevelType w:val="hybridMultilevel"/>
    <w:tmpl w:val="4B7E8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E0C0E"/>
    <w:multiLevelType w:val="hybridMultilevel"/>
    <w:tmpl w:val="2AFC82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A726B8"/>
    <w:multiLevelType w:val="hybridMultilevel"/>
    <w:tmpl w:val="443E688E"/>
    <w:lvl w:ilvl="0" w:tplc="7DA6B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0D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E5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47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C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A8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4B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E6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62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38578F"/>
    <w:multiLevelType w:val="hybridMultilevel"/>
    <w:tmpl w:val="6B540C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CF66BD"/>
    <w:multiLevelType w:val="hybridMultilevel"/>
    <w:tmpl w:val="49C2289A"/>
    <w:lvl w:ilvl="0" w:tplc="22A45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0C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66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ACE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2C8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4D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BC4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4A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63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FA71982"/>
    <w:multiLevelType w:val="hybridMultilevel"/>
    <w:tmpl w:val="B1160E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F4A62"/>
    <w:multiLevelType w:val="hybridMultilevel"/>
    <w:tmpl w:val="893C5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960FA"/>
    <w:multiLevelType w:val="hybridMultilevel"/>
    <w:tmpl w:val="420049F4"/>
    <w:lvl w:ilvl="0" w:tplc="909C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47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8E8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DA6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1A0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FAF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485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AAB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DCC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5C07CEE"/>
    <w:multiLevelType w:val="hybridMultilevel"/>
    <w:tmpl w:val="17D826B6"/>
    <w:lvl w:ilvl="0" w:tplc="88B8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A87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4D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2B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AC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07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41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43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E1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6F829DE"/>
    <w:multiLevelType w:val="hybridMultilevel"/>
    <w:tmpl w:val="AA6EED20"/>
    <w:lvl w:ilvl="0" w:tplc="8E46A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2F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3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8F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4D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E8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40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6D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23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80E5104"/>
    <w:multiLevelType w:val="hybridMultilevel"/>
    <w:tmpl w:val="AC68C47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DB0127"/>
    <w:multiLevelType w:val="hybridMultilevel"/>
    <w:tmpl w:val="CBDC3CAC"/>
    <w:lvl w:ilvl="0" w:tplc="F7B2F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C7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AC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4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49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00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4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6B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22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C463828"/>
    <w:multiLevelType w:val="hybridMultilevel"/>
    <w:tmpl w:val="2B6C1168"/>
    <w:lvl w:ilvl="0" w:tplc="FFA2B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14D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2C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8E4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88A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80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128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42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61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F644519"/>
    <w:multiLevelType w:val="hybridMultilevel"/>
    <w:tmpl w:val="2E584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80578"/>
    <w:multiLevelType w:val="hybridMultilevel"/>
    <w:tmpl w:val="10EA3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176B3"/>
    <w:multiLevelType w:val="hybridMultilevel"/>
    <w:tmpl w:val="A6A6C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30F60"/>
    <w:multiLevelType w:val="hybridMultilevel"/>
    <w:tmpl w:val="F4FE6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009AF"/>
    <w:multiLevelType w:val="hybridMultilevel"/>
    <w:tmpl w:val="76A64A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03D2C"/>
    <w:multiLevelType w:val="hybridMultilevel"/>
    <w:tmpl w:val="240C55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377D8"/>
    <w:multiLevelType w:val="hybridMultilevel"/>
    <w:tmpl w:val="C6F89022"/>
    <w:lvl w:ilvl="0" w:tplc="109EB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07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4B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AD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0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A3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0F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EA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A3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5"/>
  </w:num>
  <w:num w:numId="8">
    <w:abstractNumId w:val="15"/>
  </w:num>
  <w:num w:numId="9">
    <w:abstractNumId w:val="20"/>
  </w:num>
  <w:num w:numId="10">
    <w:abstractNumId w:val="17"/>
  </w:num>
  <w:num w:numId="11">
    <w:abstractNumId w:val="1"/>
  </w:num>
  <w:num w:numId="12">
    <w:abstractNumId w:val="27"/>
  </w:num>
  <w:num w:numId="13">
    <w:abstractNumId w:val="23"/>
  </w:num>
  <w:num w:numId="14">
    <w:abstractNumId w:val="21"/>
  </w:num>
  <w:num w:numId="15">
    <w:abstractNumId w:val="8"/>
  </w:num>
  <w:num w:numId="16">
    <w:abstractNumId w:val="24"/>
  </w:num>
  <w:num w:numId="17">
    <w:abstractNumId w:val="22"/>
  </w:num>
  <w:num w:numId="18">
    <w:abstractNumId w:val="13"/>
  </w:num>
  <w:num w:numId="19">
    <w:abstractNumId w:val="14"/>
  </w:num>
  <w:num w:numId="20">
    <w:abstractNumId w:val="7"/>
  </w:num>
  <w:num w:numId="21">
    <w:abstractNumId w:val="26"/>
  </w:num>
  <w:num w:numId="22">
    <w:abstractNumId w:val="25"/>
  </w:num>
  <w:num w:numId="23">
    <w:abstractNumId w:val="11"/>
  </w:num>
  <w:num w:numId="24">
    <w:abstractNumId w:val="18"/>
  </w:num>
  <w:num w:numId="25">
    <w:abstractNumId w:val="9"/>
  </w:num>
  <w:num w:numId="26">
    <w:abstractNumId w:val="6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3E"/>
    <w:rsid w:val="0008112B"/>
    <w:rsid w:val="00140672"/>
    <w:rsid w:val="00156008"/>
    <w:rsid w:val="002F3C9F"/>
    <w:rsid w:val="0035239E"/>
    <w:rsid w:val="00367EE7"/>
    <w:rsid w:val="006A2350"/>
    <w:rsid w:val="006D09E0"/>
    <w:rsid w:val="00742EC6"/>
    <w:rsid w:val="00765122"/>
    <w:rsid w:val="008C5B6A"/>
    <w:rsid w:val="0090383E"/>
    <w:rsid w:val="00B345BC"/>
    <w:rsid w:val="00C274E1"/>
    <w:rsid w:val="00CB7F0B"/>
    <w:rsid w:val="00F1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A8790-274D-4F4A-9E7B-BA1679AE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651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5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78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95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6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AnaMargarita</dc:creator>
  <cp:keywords/>
  <dc:description/>
  <cp:lastModifiedBy>AnaMargarita</cp:lastModifiedBy>
  <cp:revision>4</cp:revision>
  <dcterms:created xsi:type="dcterms:W3CDTF">2017-03-17T11:38:00Z</dcterms:created>
  <dcterms:modified xsi:type="dcterms:W3CDTF">2017-03-17T13:53:00Z</dcterms:modified>
</cp:coreProperties>
</file>