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51062" w14:textId="77777777" w:rsidR="00AB2B4F" w:rsidRPr="00AB2B4F" w:rsidRDefault="00AB2B4F" w:rsidP="00AB2B4F">
      <w:pPr>
        <w:spacing w:after="0" w:line="240" w:lineRule="auto"/>
        <w:rPr>
          <w:rFonts w:ascii="Arial" w:eastAsia="Times New Roman" w:hAnsi="Arial" w:cs="Arial"/>
          <w:b/>
          <w:bCs/>
          <w:sz w:val="24"/>
          <w:szCs w:val="24"/>
          <w:u w:val="single"/>
          <w:lang w:eastAsia="es-ES"/>
        </w:rPr>
      </w:pPr>
      <w:r w:rsidRPr="00AB2B4F">
        <w:rPr>
          <w:rFonts w:ascii="Arial" w:eastAsia="Times New Roman" w:hAnsi="Arial" w:cs="Arial"/>
          <w:b/>
          <w:bCs/>
          <w:sz w:val="24"/>
          <w:szCs w:val="24"/>
          <w:u w:val="single"/>
          <w:lang w:eastAsia="es-ES"/>
        </w:rPr>
        <w:t>FACULTAD DE CIENCIAS MÉDICAS DE SAGUA LA GRANDE</w:t>
      </w:r>
    </w:p>
    <w:p w14:paraId="2B223A46" w14:textId="77777777" w:rsidR="00AB2B4F" w:rsidRPr="00AB2B4F" w:rsidRDefault="00AB2B4F" w:rsidP="00AB2B4F">
      <w:pPr>
        <w:spacing w:after="0" w:line="240" w:lineRule="auto"/>
        <w:rPr>
          <w:rFonts w:ascii="Arial" w:eastAsia="Times New Roman" w:hAnsi="Arial" w:cs="Arial"/>
          <w:b/>
          <w:bCs/>
          <w:sz w:val="24"/>
          <w:szCs w:val="24"/>
          <w:u w:val="single"/>
          <w:lang w:eastAsia="es-ES"/>
        </w:rPr>
      </w:pPr>
      <w:r w:rsidRPr="00AB2B4F">
        <w:rPr>
          <w:rFonts w:ascii="Arial" w:eastAsia="Times New Roman" w:hAnsi="Arial" w:cs="Arial"/>
          <w:b/>
          <w:bCs/>
          <w:sz w:val="24"/>
          <w:szCs w:val="24"/>
          <w:u w:val="single"/>
          <w:lang w:eastAsia="es-ES"/>
        </w:rPr>
        <w:t>VILLA CLARA</w:t>
      </w:r>
    </w:p>
    <w:p w14:paraId="5B224B85" w14:textId="77777777" w:rsidR="00AB2B4F" w:rsidRPr="00AB2B4F" w:rsidRDefault="00AB2B4F" w:rsidP="00AB2B4F">
      <w:pPr>
        <w:spacing w:after="0" w:line="240" w:lineRule="auto"/>
        <w:rPr>
          <w:rFonts w:ascii="Arial" w:eastAsia="Times New Roman" w:hAnsi="Arial" w:cs="Arial"/>
          <w:sz w:val="24"/>
          <w:szCs w:val="24"/>
          <w:lang w:eastAsia="es-ES"/>
        </w:rPr>
      </w:pPr>
      <w:r w:rsidRPr="00AB2B4F">
        <w:rPr>
          <w:rFonts w:ascii="Arial" w:eastAsia="Times New Roman" w:hAnsi="Arial" w:cs="Arial"/>
          <w:sz w:val="24"/>
          <w:szCs w:val="24"/>
          <w:lang w:eastAsia="es-ES"/>
        </w:rPr>
        <w:t>Departamento docente: Enfermería.</w:t>
      </w:r>
    </w:p>
    <w:p w14:paraId="4DB82115" w14:textId="77777777" w:rsidR="00AB2B4F" w:rsidRPr="00AB2B4F" w:rsidRDefault="00AB2B4F" w:rsidP="00AB2B4F">
      <w:pPr>
        <w:spacing w:after="0" w:line="240" w:lineRule="auto"/>
        <w:rPr>
          <w:rFonts w:ascii="Arial" w:eastAsia="Times New Roman" w:hAnsi="Arial" w:cs="Arial"/>
          <w:sz w:val="24"/>
          <w:szCs w:val="24"/>
          <w:lang w:eastAsia="es-ES"/>
        </w:rPr>
      </w:pPr>
      <w:r w:rsidRPr="00AB2B4F">
        <w:rPr>
          <w:rFonts w:ascii="Arial" w:eastAsia="Times New Roman" w:hAnsi="Arial" w:cs="Arial"/>
          <w:sz w:val="24"/>
          <w:szCs w:val="24"/>
          <w:lang w:eastAsia="es-ES"/>
        </w:rPr>
        <w:t>Nombre de la asignatura o programa: Cuidados de enfermería en la comunidad I.</w:t>
      </w:r>
    </w:p>
    <w:p w14:paraId="2BD9EE75" w14:textId="77777777" w:rsidR="00AB2B4F" w:rsidRPr="00AB2B4F" w:rsidRDefault="00AB2B4F" w:rsidP="00AB2B4F">
      <w:pPr>
        <w:spacing w:after="0" w:line="240" w:lineRule="auto"/>
        <w:rPr>
          <w:rFonts w:ascii="Arial" w:eastAsia="Times New Roman" w:hAnsi="Arial" w:cs="Arial"/>
          <w:sz w:val="24"/>
          <w:szCs w:val="24"/>
          <w:lang w:eastAsia="es-ES"/>
        </w:rPr>
      </w:pPr>
      <w:r w:rsidRPr="00AB2B4F">
        <w:rPr>
          <w:rFonts w:ascii="Arial" w:eastAsia="Times New Roman" w:hAnsi="Arial" w:cs="Arial"/>
          <w:sz w:val="24"/>
          <w:szCs w:val="24"/>
          <w:lang w:eastAsia="es-ES"/>
        </w:rPr>
        <w:t>Carrera: Licenciatura en enfermería CRD.</w:t>
      </w:r>
      <w:bookmarkStart w:id="0" w:name="_GoBack"/>
      <w:bookmarkEnd w:id="0"/>
    </w:p>
    <w:p w14:paraId="629DD173" w14:textId="77777777" w:rsidR="00AB2B4F" w:rsidRPr="00AB2B4F" w:rsidRDefault="00AB2B4F" w:rsidP="00AB2B4F">
      <w:pPr>
        <w:spacing w:after="0" w:line="240" w:lineRule="auto"/>
        <w:rPr>
          <w:rFonts w:ascii="Arial" w:eastAsia="Times New Roman" w:hAnsi="Arial" w:cs="Arial"/>
          <w:sz w:val="24"/>
          <w:szCs w:val="24"/>
          <w:lang w:eastAsia="es-ES"/>
        </w:rPr>
      </w:pPr>
      <w:r w:rsidRPr="00AB2B4F">
        <w:rPr>
          <w:rFonts w:ascii="Arial" w:eastAsia="Times New Roman" w:hAnsi="Arial" w:cs="Arial"/>
          <w:sz w:val="24"/>
          <w:szCs w:val="24"/>
          <w:lang w:eastAsia="es-ES"/>
        </w:rPr>
        <w:t>Año y semestre en que se imparte: 1er año. 1er semestre.</w:t>
      </w:r>
    </w:p>
    <w:p w14:paraId="5B79058A" w14:textId="77777777" w:rsidR="00AB2B4F" w:rsidRPr="00AB2B4F" w:rsidRDefault="00AB2B4F" w:rsidP="00AB2B4F">
      <w:pPr>
        <w:spacing w:after="0" w:line="240" w:lineRule="auto"/>
        <w:rPr>
          <w:rFonts w:ascii="Arial" w:eastAsia="Times New Roman" w:hAnsi="Arial" w:cs="Arial"/>
          <w:sz w:val="24"/>
          <w:szCs w:val="24"/>
          <w:lang w:eastAsia="es-ES"/>
        </w:rPr>
      </w:pPr>
      <w:r w:rsidRPr="00AB2B4F">
        <w:rPr>
          <w:rFonts w:ascii="Arial" w:eastAsia="Times New Roman" w:hAnsi="Arial" w:cs="Arial"/>
          <w:sz w:val="24"/>
          <w:szCs w:val="24"/>
          <w:lang w:eastAsia="es-ES"/>
        </w:rPr>
        <w:t xml:space="preserve">Profesor: </w:t>
      </w:r>
      <w:proofErr w:type="spellStart"/>
      <w:r w:rsidRPr="00AB2B4F">
        <w:rPr>
          <w:rFonts w:ascii="Arial" w:eastAsia="Times New Roman" w:hAnsi="Arial" w:cs="Arial"/>
          <w:sz w:val="24"/>
          <w:szCs w:val="24"/>
          <w:lang w:eastAsia="es-ES"/>
        </w:rPr>
        <w:t>MSc</w:t>
      </w:r>
      <w:proofErr w:type="spellEnd"/>
      <w:r w:rsidRPr="00AB2B4F">
        <w:rPr>
          <w:rFonts w:ascii="Arial" w:eastAsia="Times New Roman" w:hAnsi="Arial" w:cs="Arial"/>
          <w:sz w:val="24"/>
          <w:szCs w:val="24"/>
          <w:lang w:eastAsia="es-ES"/>
        </w:rPr>
        <w:t xml:space="preserve">. Damián Véliz Escobar </w:t>
      </w:r>
    </w:p>
    <w:p w14:paraId="16DFC1C0" w14:textId="4CD65407" w:rsidR="00E6006C" w:rsidRPr="00DB3489" w:rsidRDefault="00AB2B4F" w:rsidP="00AB2B4F">
      <w:pPr>
        <w:spacing w:after="0" w:line="240" w:lineRule="auto"/>
        <w:rPr>
          <w:rFonts w:ascii="Arial" w:eastAsia="Times New Roman" w:hAnsi="Arial" w:cs="Arial"/>
          <w:sz w:val="24"/>
          <w:szCs w:val="24"/>
          <w:lang w:eastAsia="ar-SA"/>
        </w:rPr>
      </w:pPr>
      <w:r w:rsidRPr="00AB2B4F">
        <w:rPr>
          <w:rFonts w:ascii="Arial" w:eastAsia="Times New Roman" w:hAnsi="Arial" w:cs="Arial"/>
          <w:sz w:val="24"/>
          <w:szCs w:val="24"/>
          <w:lang w:eastAsia="es-ES"/>
        </w:rPr>
        <w:t xml:space="preserve">Tipo y número de la actividad: </w:t>
      </w:r>
      <w:r w:rsidR="00E6006C" w:rsidRPr="00710305">
        <w:rPr>
          <w:rFonts w:ascii="Arial" w:eastAsia="Times New Roman" w:hAnsi="Arial" w:cs="Arial"/>
          <w:b/>
          <w:bCs/>
          <w:sz w:val="24"/>
          <w:szCs w:val="24"/>
          <w:u w:val="single"/>
          <w:lang w:eastAsia="ar-SA"/>
        </w:rPr>
        <w:t>Tema 3.9</w:t>
      </w:r>
      <w:r w:rsidR="00E6006C" w:rsidRPr="00DB3489">
        <w:rPr>
          <w:rFonts w:ascii="Arial" w:eastAsia="Times New Roman" w:hAnsi="Arial" w:cs="Arial"/>
          <w:sz w:val="24"/>
          <w:szCs w:val="24"/>
          <w:lang w:eastAsia="ar-SA"/>
        </w:rPr>
        <w:t xml:space="preserve"> Diagnóstico de los problemas de salud de la comunidad y el entorno</w:t>
      </w:r>
    </w:p>
    <w:p w14:paraId="2118A7C3" w14:textId="77777777" w:rsidR="00BB3ED4" w:rsidRPr="00DB3489" w:rsidRDefault="00E6006C" w:rsidP="00E6006C">
      <w:pPr>
        <w:spacing w:after="0" w:line="240" w:lineRule="auto"/>
        <w:rPr>
          <w:rFonts w:ascii="Arial" w:eastAsia="Times New Roman" w:hAnsi="Arial" w:cs="Arial"/>
          <w:sz w:val="24"/>
          <w:szCs w:val="24"/>
          <w:lang w:eastAsia="ar-SA"/>
        </w:rPr>
      </w:pPr>
      <w:bookmarkStart w:id="1" w:name="_Hlk128083136"/>
      <w:r w:rsidRPr="00DB3489">
        <w:rPr>
          <w:rFonts w:ascii="Arial" w:eastAsia="Times New Roman" w:hAnsi="Arial" w:cs="Arial"/>
          <w:sz w:val="24"/>
          <w:szCs w:val="24"/>
          <w:lang w:eastAsia="ar-SA"/>
        </w:rPr>
        <w:t>Diagnóstico de los problemas de salud de la comunidad y el entorno</w:t>
      </w:r>
      <w:bookmarkEnd w:id="1"/>
      <w:r w:rsidRPr="00DB3489">
        <w:rPr>
          <w:rFonts w:ascii="Arial" w:eastAsia="Times New Roman" w:hAnsi="Arial" w:cs="Arial"/>
          <w:sz w:val="24"/>
          <w:szCs w:val="24"/>
          <w:lang w:eastAsia="ar-SA"/>
        </w:rPr>
        <w:t>. Taxonomía II NANDA</w:t>
      </w:r>
      <w:r w:rsidR="00BB3ED4" w:rsidRPr="00DB3489">
        <w:rPr>
          <w:rFonts w:ascii="Arial" w:eastAsia="Times New Roman" w:hAnsi="Arial" w:cs="Arial"/>
          <w:sz w:val="24"/>
          <w:szCs w:val="24"/>
          <w:lang w:eastAsia="ar-SA"/>
        </w:rPr>
        <w:t xml:space="preserve"> </w:t>
      </w:r>
    </w:p>
    <w:p w14:paraId="7CAE1CD3" w14:textId="77777777" w:rsidR="00BB3ED4" w:rsidRPr="00DB3489" w:rsidRDefault="00BB3ED4" w:rsidP="00BB3ED4">
      <w:pPr>
        <w:widowControl w:val="0"/>
        <w:tabs>
          <w:tab w:val="left" w:pos="426"/>
        </w:tabs>
        <w:contextualSpacing/>
        <w:jc w:val="both"/>
        <w:rPr>
          <w:rFonts w:ascii="Arial" w:eastAsia="Times New Roman" w:hAnsi="Arial" w:cs="Arial"/>
          <w:sz w:val="24"/>
          <w:szCs w:val="24"/>
          <w:lang w:eastAsia="es-ES"/>
        </w:rPr>
      </w:pPr>
      <w:r w:rsidRPr="00710305">
        <w:rPr>
          <w:rFonts w:ascii="Arial" w:eastAsia="Times New Roman" w:hAnsi="Arial" w:cs="Arial"/>
          <w:b/>
          <w:bCs/>
          <w:sz w:val="24"/>
          <w:szCs w:val="24"/>
          <w:u w:val="single"/>
          <w:lang w:eastAsia="es-ES"/>
        </w:rPr>
        <w:t>Objetivos</w:t>
      </w:r>
      <w:r w:rsidRPr="00DB3489">
        <w:rPr>
          <w:rFonts w:ascii="Arial" w:eastAsia="Times New Roman" w:hAnsi="Arial" w:cs="Arial"/>
          <w:sz w:val="24"/>
          <w:szCs w:val="24"/>
          <w:lang w:eastAsia="es-ES"/>
        </w:rPr>
        <w:t xml:space="preserve">:  Explicar la importancia </w:t>
      </w:r>
      <w:r w:rsidR="00B94D40" w:rsidRPr="00DB3489">
        <w:rPr>
          <w:rFonts w:ascii="Arial" w:eastAsia="Times New Roman" w:hAnsi="Arial" w:cs="Arial"/>
          <w:sz w:val="24"/>
          <w:szCs w:val="24"/>
          <w:lang w:eastAsia="es-ES"/>
        </w:rPr>
        <w:t>del diagnóstico</w:t>
      </w:r>
      <w:r w:rsidRPr="00DB3489">
        <w:rPr>
          <w:rFonts w:ascii="Arial" w:eastAsia="Times New Roman" w:hAnsi="Arial" w:cs="Arial"/>
          <w:sz w:val="24"/>
          <w:szCs w:val="24"/>
          <w:lang w:eastAsia="es-ES"/>
        </w:rPr>
        <w:t xml:space="preserve"> de los problemas de salud de la comunidad y el entorno a un nivel reproductivo mediante la explicación y el uso de recursos del aprendizaje, de modo que les permita integración y generalización de los conocimientos adquiridos y el desarrollo de habilidades en su vida profesional</w:t>
      </w:r>
    </w:p>
    <w:p w14:paraId="32EE089B" w14:textId="77777777" w:rsidR="00AB2B4F" w:rsidRPr="00AB2B4F" w:rsidRDefault="00AB2B4F" w:rsidP="00AB2B4F">
      <w:pPr>
        <w:jc w:val="both"/>
        <w:rPr>
          <w:rFonts w:ascii="Arial" w:eastAsia="Times New Roman" w:hAnsi="Arial" w:cs="Arial"/>
          <w:b/>
          <w:bCs/>
          <w:sz w:val="24"/>
          <w:szCs w:val="24"/>
          <w:u w:val="single"/>
          <w:lang w:eastAsia="es-ES"/>
        </w:rPr>
      </w:pPr>
      <w:r w:rsidRPr="00AB2B4F">
        <w:rPr>
          <w:rFonts w:ascii="Arial" w:eastAsia="Times New Roman" w:hAnsi="Arial" w:cs="Arial"/>
          <w:b/>
          <w:bCs/>
          <w:sz w:val="24"/>
          <w:szCs w:val="24"/>
          <w:u w:val="single"/>
          <w:lang w:eastAsia="es-ES"/>
        </w:rPr>
        <w:t>Estimado estudiante:</w:t>
      </w:r>
    </w:p>
    <w:p w14:paraId="70CCE285" w14:textId="77777777" w:rsidR="00AB2B4F" w:rsidRPr="00AB2B4F" w:rsidRDefault="00AB2B4F" w:rsidP="00AB2B4F">
      <w:pPr>
        <w:jc w:val="both"/>
        <w:rPr>
          <w:rFonts w:ascii="Arial" w:eastAsia="Times New Roman" w:hAnsi="Arial" w:cs="Arial"/>
          <w:sz w:val="24"/>
          <w:szCs w:val="24"/>
          <w:u w:val="single"/>
          <w:lang w:eastAsia="es-ES"/>
        </w:rPr>
      </w:pPr>
      <w:r w:rsidRPr="00AB2B4F">
        <w:rPr>
          <w:rFonts w:ascii="Arial" w:eastAsia="Times New Roman" w:hAnsi="Arial" w:cs="Arial"/>
          <w:sz w:val="24"/>
          <w:szCs w:val="24"/>
          <w:lang w:eastAsia="es-ES"/>
        </w:rPr>
        <w:t xml:space="preserve">Ante todo, un cordial saludo para todos, bienvenidos a la asignatura de Cuidados de enfermería en la comunidad- I, la misma será impartida por el profesor asistente, </w:t>
      </w:r>
      <w:proofErr w:type="spellStart"/>
      <w:r w:rsidRPr="00AB2B4F">
        <w:rPr>
          <w:rFonts w:ascii="Arial" w:eastAsia="Times New Roman" w:hAnsi="Arial" w:cs="Arial"/>
          <w:sz w:val="24"/>
          <w:szCs w:val="24"/>
          <w:lang w:eastAsia="es-ES"/>
        </w:rPr>
        <w:t>MSc</w:t>
      </w:r>
      <w:proofErr w:type="spellEnd"/>
      <w:r w:rsidRPr="00AB2B4F">
        <w:rPr>
          <w:rFonts w:ascii="Arial" w:eastAsia="Times New Roman" w:hAnsi="Arial" w:cs="Arial"/>
          <w:sz w:val="24"/>
          <w:szCs w:val="24"/>
          <w:lang w:eastAsia="es-ES"/>
        </w:rPr>
        <w:t>. Damián Véliz Escobar. Se pondrá a su disposición este material para guiarlos en la auto preparación, pues tienen que lograr la adquisición de habilidades y conocimientos</w:t>
      </w:r>
      <w:r w:rsidRPr="00AB2B4F">
        <w:rPr>
          <w:rFonts w:ascii="Arial" w:eastAsia="Times New Roman" w:hAnsi="Arial" w:cs="Arial"/>
          <w:sz w:val="24"/>
          <w:szCs w:val="24"/>
          <w:u w:val="single"/>
          <w:lang w:eastAsia="es-ES"/>
        </w:rPr>
        <w:t>.</w:t>
      </w:r>
    </w:p>
    <w:p w14:paraId="6F294FD5" w14:textId="49371E1A" w:rsidR="00E3463D" w:rsidRDefault="00AB2B4F" w:rsidP="00AB2B4F">
      <w:pPr>
        <w:jc w:val="both"/>
        <w:rPr>
          <w:rFonts w:ascii="Arial" w:eastAsia="Times New Roman" w:hAnsi="Arial" w:cs="Arial"/>
          <w:b/>
          <w:bCs/>
          <w:sz w:val="24"/>
          <w:szCs w:val="24"/>
          <w:u w:val="single"/>
          <w:lang w:eastAsia="es-ES"/>
        </w:rPr>
      </w:pPr>
      <w:r w:rsidRPr="00AB2B4F">
        <w:rPr>
          <w:rFonts w:ascii="Arial" w:eastAsia="Times New Roman" w:hAnsi="Arial" w:cs="Arial"/>
          <w:b/>
          <w:bCs/>
          <w:sz w:val="24"/>
          <w:szCs w:val="24"/>
          <w:u w:val="single"/>
          <w:lang w:eastAsia="es-ES"/>
        </w:rPr>
        <w:t>Desarrollo</w:t>
      </w:r>
    </w:p>
    <w:p w14:paraId="6E595962"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 xml:space="preserve">Los profesionales de Enfermería tratan las respuestas a afecciones de salud/procesos vitales de personas, familias, grupos y comunidades. Dichas respuestas son el objeto principal del cuidado de Enfermería </w:t>
      </w:r>
    </w:p>
    <w:p w14:paraId="74C6F298"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Un Diagnóstico de Enfermería puede focalizarse en un problema, un estado de promoción de la salud o en un riesgo potencial.</w:t>
      </w:r>
    </w:p>
    <w:p w14:paraId="0F55A3F0"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 Diagnóstico de Enfermería focalizado en el problema: juicio clínico en relación con una respuesta humana no deseada de una persona, familia, grupo o comunidad, a una afección de salud/proceso vital.</w:t>
      </w:r>
    </w:p>
    <w:p w14:paraId="637EE542"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-Diagnóstico de Enfermería de riesgo: juicio clínico en relación con la susceptibilidad de una persona, familia, grupo o comunidad de desarrollar una respuesta humana no deseada a una afección de salud/proceso vital.</w:t>
      </w:r>
    </w:p>
    <w:p w14:paraId="162E023A"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 xml:space="preserve">- Diagnóstico de Enfermería de promoción de la salud: juicio clínico en relación con la motivación y el deseo de aumentar el bienestar y actualizar el potencial de salud. Estas respuestas se expresan por una disposición para mejorar los comportamientos específicos de salud y pueden ser utilizadas en cualquier estado de salud. En situaciones donde los individuos son incapaces de expresar su propia disposición para mejorar los comportamientos en salud, la enfermera podría determinar que esa condición de promoción de salud existe y entonces actuar en nombre del paciente. Las respuestas de promoción de la salud se pueden dar en una </w:t>
      </w:r>
      <w:proofErr w:type="spellStart"/>
      <w:proofErr w:type="gramStart"/>
      <w:r w:rsidRPr="000930F5">
        <w:rPr>
          <w:rFonts w:ascii="Arial" w:eastAsia="Times New Roman" w:hAnsi="Arial" w:cs="Arial"/>
          <w:sz w:val="24"/>
          <w:szCs w:val="24"/>
          <w:lang w:eastAsia="es-ES"/>
        </w:rPr>
        <w:t>persona,familia</w:t>
      </w:r>
      <w:proofErr w:type="spellEnd"/>
      <w:proofErr w:type="gramEnd"/>
      <w:r w:rsidRPr="000930F5">
        <w:rPr>
          <w:rFonts w:ascii="Arial" w:eastAsia="Times New Roman" w:hAnsi="Arial" w:cs="Arial"/>
          <w:sz w:val="24"/>
          <w:szCs w:val="24"/>
          <w:lang w:eastAsia="es-ES"/>
        </w:rPr>
        <w:t xml:space="preserve">, grupo o comunidad. </w:t>
      </w:r>
      <w:proofErr w:type="gramStart"/>
      <w:r w:rsidRPr="000930F5">
        <w:rPr>
          <w:rFonts w:ascii="Arial" w:eastAsia="Times New Roman" w:hAnsi="Arial" w:cs="Arial"/>
          <w:sz w:val="24"/>
          <w:szCs w:val="24"/>
          <w:lang w:eastAsia="es-ES"/>
        </w:rPr>
        <w:t>Cómo diagnóstica un profesional de Enfermería?</w:t>
      </w:r>
      <w:proofErr w:type="gramEnd"/>
    </w:p>
    <w:p w14:paraId="7E181819"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lastRenderedPageBreak/>
        <w:t xml:space="preserve">El Proceso de Enfermería incluye la valoración, el Diagnóstico de Enfermería, la Planificación, el establecimiento de resultados, las intervenciones y la evaluación. Los profesionales de Enfermería usan la valoración y el juicio clínico para formular </w:t>
      </w:r>
      <w:proofErr w:type="spellStart"/>
      <w:r w:rsidRPr="000930F5">
        <w:rPr>
          <w:rFonts w:ascii="Arial" w:eastAsia="Times New Roman" w:hAnsi="Arial" w:cs="Arial"/>
          <w:sz w:val="24"/>
          <w:szCs w:val="24"/>
          <w:lang w:eastAsia="es-ES"/>
        </w:rPr>
        <w:t>hipótesis</w:t>
      </w:r>
      <w:proofErr w:type="spellEnd"/>
      <w:r w:rsidRPr="000930F5">
        <w:rPr>
          <w:rFonts w:ascii="Arial" w:eastAsia="Times New Roman" w:hAnsi="Arial" w:cs="Arial"/>
          <w:sz w:val="24"/>
          <w:szCs w:val="24"/>
          <w:lang w:eastAsia="es-ES"/>
        </w:rPr>
        <w:t>, o explicaciones, sobre la presencia de problemas, riesgos y oportunidades para la promoción de la salud. Todos estos pasos requieren conocimientos sobre los conceptos subyacentes a la ciencia enfermera antes de que los patrones puedan ser identificados en los datos clínicos o de que se puedan formular diagnósticos precisos.</w:t>
      </w:r>
    </w:p>
    <w:p w14:paraId="7D617DA6"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El conocimiento de los conceptos clave, o de los focos de los diagnósticos de Enfermería, es necesario antes de comenzar la valoración. Algunos ejemplos de conceptos críticos importantes para la práctica clínica de Enfermería incluyen la respiración, la eliminación, la termorregulación, el bienestar físico, el autocuidado y la integridad tisular. La comprensión de estos conceptos permite a al profesional de Enfermería ver patrones en los datos e identificar diagnósticos precisos.</w:t>
      </w:r>
    </w:p>
    <w:p w14:paraId="201E5233"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Diagnóstico de Enfermería</w:t>
      </w:r>
    </w:p>
    <w:p w14:paraId="464442F9"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 xml:space="preserve">Un diagnóstico de Enfermería es un juicio clínico en relación con una respuesta humana a una afección de salud/proceso vital, o vulnerabilidad para esa respuesta, de una persona, </w:t>
      </w:r>
      <w:proofErr w:type="spellStart"/>
      <w:proofErr w:type="gramStart"/>
      <w:r w:rsidRPr="000930F5">
        <w:rPr>
          <w:rFonts w:ascii="Arial" w:eastAsia="Times New Roman" w:hAnsi="Arial" w:cs="Arial"/>
          <w:sz w:val="24"/>
          <w:szCs w:val="24"/>
          <w:lang w:eastAsia="es-ES"/>
        </w:rPr>
        <w:t>familia,grupo</w:t>
      </w:r>
      <w:proofErr w:type="spellEnd"/>
      <w:proofErr w:type="gramEnd"/>
      <w:r w:rsidRPr="000930F5">
        <w:rPr>
          <w:rFonts w:ascii="Arial" w:eastAsia="Times New Roman" w:hAnsi="Arial" w:cs="Arial"/>
          <w:sz w:val="24"/>
          <w:szCs w:val="24"/>
          <w:lang w:eastAsia="es-ES"/>
        </w:rPr>
        <w:t xml:space="preserve"> o comunidad. (NANDA-I 2013). Un diagnóstico enfermero contiene típicamente dos partes: (1) descriptor o modificador y (2) foco del diagnóstico o concepto clave del diagnóstico</w:t>
      </w:r>
    </w:p>
    <w:p w14:paraId="43CA1922"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 xml:space="preserve"> Existen algunas excepciones en las cuales un diagnóstico enfermero es solamente una palabra, como ansiedad (00146), estreñimiento (00011), fatiga (00093) y náuseas (00134).</w:t>
      </w:r>
    </w:p>
    <w:p w14:paraId="3B32FC8D"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En estos diagnósticos el modificador y el foco están inherentes en el mismo término.</w:t>
      </w:r>
    </w:p>
    <w:p w14:paraId="2E0F86D7"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DIAGNÓSTICO DE ENFERMERÍA DE LA TAXONOMÍA II NANDA I</w:t>
      </w:r>
    </w:p>
    <w:p w14:paraId="24B4A2E0"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(DEFINICIONES Y CLASIFICACIONES) 2018-2020</w:t>
      </w:r>
    </w:p>
    <w:p w14:paraId="40D92AC4"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En 1987 NANDA-I publicó la taxonomía I, que estaba estructurada para reflejar los modelos teóricos enfermeros norteamericanos. En 2002 se adoptó la taxonomía II, que fue adaptada del marco de valoración de Patrones Funcionales de Salud de la Dra. Marjory Gordon. Este marco de valoración es probablemente el marco de valoración enfermera más usado en todo el mundo.</w:t>
      </w:r>
    </w:p>
    <w:p w14:paraId="664A6E4D" w14:textId="77777777" w:rsidR="00AB2B4F" w:rsidRPr="000930F5" w:rsidRDefault="00AB2B4F" w:rsidP="00AB2B4F">
      <w:pPr>
        <w:jc w:val="both"/>
        <w:rPr>
          <w:rFonts w:ascii="Arial" w:eastAsia="Times New Roman" w:hAnsi="Arial" w:cs="Arial"/>
          <w:sz w:val="24"/>
          <w:szCs w:val="24"/>
          <w:lang w:eastAsia="es-ES"/>
        </w:rPr>
      </w:pPr>
      <w:r w:rsidRPr="000930F5">
        <w:rPr>
          <w:rFonts w:ascii="Arial" w:eastAsia="Times New Roman" w:hAnsi="Arial" w:cs="Arial"/>
          <w:sz w:val="24"/>
          <w:szCs w:val="24"/>
          <w:lang w:eastAsia="es-ES"/>
        </w:rPr>
        <w:t xml:space="preserve">En el transcurso de los últimos tres años, los miembros y usuarios de NANDA-I consideraron si se debería reemplazar la Taxonomía II con una Taxonomía III, desarrollada por la Dra. Gunn </w:t>
      </w:r>
      <w:proofErr w:type="spellStart"/>
      <w:r w:rsidRPr="000930F5">
        <w:rPr>
          <w:rFonts w:ascii="Arial" w:eastAsia="Times New Roman" w:hAnsi="Arial" w:cs="Arial"/>
          <w:sz w:val="24"/>
          <w:szCs w:val="24"/>
          <w:lang w:eastAsia="es-ES"/>
        </w:rPr>
        <w:t>von</w:t>
      </w:r>
      <w:proofErr w:type="spellEnd"/>
      <w:r w:rsidRPr="000930F5">
        <w:rPr>
          <w:rFonts w:ascii="Arial" w:eastAsia="Times New Roman" w:hAnsi="Arial" w:cs="Arial"/>
          <w:sz w:val="24"/>
          <w:szCs w:val="24"/>
          <w:lang w:eastAsia="es-ES"/>
        </w:rPr>
        <w:t xml:space="preserve"> </w:t>
      </w:r>
      <w:proofErr w:type="spellStart"/>
      <w:r w:rsidRPr="000930F5">
        <w:rPr>
          <w:rFonts w:ascii="Arial" w:eastAsia="Times New Roman" w:hAnsi="Arial" w:cs="Arial"/>
          <w:sz w:val="24"/>
          <w:szCs w:val="24"/>
          <w:lang w:eastAsia="es-ES"/>
        </w:rPr>
        <w:t>Krogh</w:t>
      </w:r>
      <w:proofErr w:type="spellEnd"/>
      <w:r w:rsidRPr="000930F5">
        <w:rPr>
          <w:rFonts w:ascii="Arial" w:eastAsia="Times New Roman" w:hAnsi="Arial" w:cs="Arial"/>
          <w:sz w:val="24"/>
          <w:szCs w:val="24"/>
          <w:lang w:eastAsia="es-ES"/>
        </w:rPr>
        <w:t xml:space="preserve"> (discutida en detalle en la 10ª edición de este texto). En 2016, esta taxonomía fue presentada a los miembros de NANDA-I para determinar si la organización debería mantener la Taxonomía II o posiblemente retirarla y adoptar la Taxonomía III. Después de una reflexión, estudio y discusión, la abrumadora decisión de los miembros fue mantener la Taxonomía II. Se puede continuar trabajando en la Taxonomía III, y podría volver a los miembros para su reconsideración en una fecha posterior.</w:t>
      </w:r>
    </w:p>
    <w:p w14:paraId="50767CA7" w14:textId="77777777" w:rsidR="00AB2B4F" w:rsidRPr="00AB2B4F" w:rsidRDefault="00AB2B4F" w:rsidP="00AB2B4F">
      <w:pPr>
        <w:jc w:val="both"/>
        <w:rPr>
          <w:rFonts w:ascii="Arial" w:eastAsia="Times New Roman" w:hAnsi="Arial" w:cs="Arial"/>
          <w:b/>
          <w:bCs/>
          <w:sz w:val="24"/>
          <w:szCs w:val="24"/>
          <w:lang w:eastAsia="es-ES"/>
        </w:rPr>
      </w:pPr>
      <w:r w:rsidRPr="00AB2B4F">
        <w:rPr>
          <w:rFonts w:ascii="Arial" w:eastAsia="Times New Roman" w:hAnsi="Arial" w:cs="Arial"/>
          <w:b/>
          <w:bCs/>
          <w:sz w:val="24"/>
          <w:szCs w:val="24"/>
          <w:lang w:eastAsia="es-ES"/>
        </w:rPr>
        <w:t>FOLLETO COMPLEMENTARIO, DIAGNÓSTICO DE ENFERMERÍA / TAXONOMÍA II - NANDA I (DEFINICIONES Y CLASIFICACIÒN) 2018 – 2020</w:t>
      </w:r>
    </w:p>
    <w:p w14:paraId="6C98F618" w14:textId="43FBACFD" w:rsidR="00AB2B4F" w:rsidRPr="00AB2B4F" w:rsidRDefault="00AB2B4F" w:rsidP="00AB2B4F">
      <w:pPr>
        <w:jc w:val="both"/>
        <w:rPr>
          <w:rFonts w:ascii="Arial" w:eastAsia="Times New Roman" w:hAnsi="Arial" w:cs="Arial"/>
          <w:b/>
          <w:bCs/>
          <w:sz w:val="24"/>
          <w:szCs w:val="24"/>
          <w:lang w:eastAsia="es-ES"/>
        </w:rPr>
      </w:pPr>
      <w:r w:rsidRPr="00AB2B4F">
        <w:rPr>
          <w:rFonts w:ascii="Arial" w:eastAsia="Times New Roman" w:hAnsi="Arial" w:cs="Arial"/>
          <w:b/>
          <w:bCs/>
          <w:sz w:val="24"/>
          <w:szCs w:val="24"/>
          <w:lang w:eastAsia="es-ES"/>
        </w:rPr>
        <w:t xml:space="preserve">Diagnósticos de enfermería relacionados con </w:t>
      </w:r>
      <w:r>
        <w:rPr>
          <w:rFonts w:ascii="Arial" w:eastAsia="Times New Roman" w:hAnsi="Arial" w:cs="Arial"/>
          <w:b/>
          <w:bCs/>
          <w:sz w:val="24"/>
          <w:szCs w:val="24"/>
          <w:lang w:eastAsia="es-ES"/>
        </w:rPr>
        <w:t>datos negativos comunitarios.</w:t>
      </w:r>
    </w:p>
    <w:tbl>
      <w:tblPr>
        <w:tblStyle w:val="TableGrid3"/>
        <w:tblW w:w="14879" w:type="dxa"/>
        <w:tblLook w:val="04A0" w:firstRow="1" w:lastRow="0" w:firstColumn="1" w:lastColumn="0" w:noHBand="0" w:noVBand="1"/>
      </w:tblPr>
      <w:tblGrid>
        <w:gridCol w:w="675"/>
        <w:gridCol w:w="4395"/>
        <w:gridCol w:w="9809"/>
      </w:tblGrid>
      <w:tr w:rsidR="00A536D2" w:rsidRPr="00A536D2" w14:paraId="5D5AFA8F" w14:textId="77777777" w:rsidTr="000930F5">
        <w:trPr>
          <w:trHeight w:val="392"/>
        </w:trPr>
        <w:tc>
          <w:tcPr>
            <w:tcW w:w="675" w:type="dxa"/>
          </w:tcPr>
          <w:p w14:paraId="152BDA91"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lastRenderedPageBreak/>
              <w:t>No</w:t>
            </w:r>
          </w:p>
        </w:tc>
        <w:tc>
          <w:tcPr>
            <w:tcW w:w="4395" w:type="dxa"/>
          </w:tcPr>
          <w:p w14:paraId="4E6CA2D9"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Datos negativos</w:t>
            </w:r>
          </w:p>
        </w:tc>
        <w:tc>
          <w:tcPr>
            <w:tcW w:w="9809" w:type="dxa"/>
            <w:tcBorders>
              <w:right w:val="single" w:sz="4" w:space="0" w:color="auto"/>
            </w:tcBorders>
          </w:tcPr>
          <w:p w14:paraId="38B0452F"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b/>
              </w:rPr>
              <w:t>diagnostico</w:t>
            </w:r>
          </w:p>
        </w:tc>
      </w:tr>
      <w:tr w:rsidR="00A536D2" w:rsidRPr="00A536D2" w14:paraId="2DBC619E" w14:textId="77777777" w:rsidTr="000930F5">
        <w:trPr>
          <w:trHeight w:val="414"/>
        </w:trPr>
        <w:tc>
          <w:tcPr>
            <w:tcW w:w="675" w:type="dxa"/>
          </w:tcPr>
          <w:p w14:paraId="064B1BAA"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1-</w:t>
            </w:r>
          </w:p>
        </w:tc>
        <w:tc>
          <w:tcPr>
            <w:tcW w:w="4395" w:type="dxa"/>
          </w:tcPr>
          <w:p w14:paraId="0A7108D3" w14:textId="77777777" w:rsidR="00A536D2" w:rsidRPr="00A536D2" w:rsidRDefault="00A536D2" w:rsidP="00A536D2">
            <w:pPr>
              <w:spacing w:before="240"/>
              <w:contextualSpacing/>
              <w:rPr>
                <w:rFonts w:ascii="Arial" w:hAnsi="Arial" w:cs="Arial"/>
              </w:rPr>
            </w:pPr>
            <w:r w:rsidRPr="00A536D2">
              <w:rPr>
                <w:rFonts w:ascii="Arial" w:hAnsi="Arial" w:cs="Arial"/>
                <w:i/>
              </w:rPr>
              <w:t>Baja percepción de riesgo (pocos conocimientos)</w:t>
            </w:r>
          </w:p>
        </w:tc>
        <w:tc>
          <w:tcPr>
            <w:tcW w:w="9809" w:type="dxa"/>
            <w:tcBorders>
              <w:right w:val="single" w:sz="4" w:space="0" w:color="auto"/>
            </w:tcBorders>
          </w:tcPr>
          <w:p w14:paraId="2D6C45BE"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Conocimientos deficientes</w:t>
            </w:r>
          </w:p>
        </w:tc>
      </w:tr>
      <w:tr w:rsidR="00A536D2" w:rsidRPr="00A536D2" w14:paraId="1E96840E" w14:textId="77777777" w:rsidTr="000930F5">
        <w:trPr>
          <w:trHeight w:val="414"/>
        </w:trPr>
        <w:tc>
          <w:tcPr>
            <w:tcW w:w="675" w:type="dxa"/>
          </w:tcPr>
          <w:p w14:paraId="2EF9AAD7"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2-</w:t>
            </w:r>
          </w:p>
        </w:tc>
        <w:tc>
          <w:tcPr>
            <w:tcW w:w="4395" w:type="dxa"/>
          </w:tcPr>
          <w:p w14:paraId="3B1BB5AD" w14:textId="77777777" w:rsidR="00A536D2" w:rsidRPr="00A536D2" w:rsidRDefault="00A536D2" w:rsidP="00A536D2">
            <w:pPr>
              <w:spacing w:before="240"/>
              <w:contextualSpacing/>
              <w:rPr>
                <w:rFonts w:ascii="Arial" w:hAnsi="Arial" w:cs="Arial"/>
              </w:rPr>
            </w:pPr>
            <w:r w:rsidRPr="00A536D2">
              <w:rPr>
                <w:rFonts w:ascii="Arial" w:hAnsi="Arial" w:cs="Arial"/>
                <w:i/>
              </w:rPr>
              <w:t>Malas condiciones económicas</w:t>
            </w:r>
          </w:p>
        </w:tc>
        <w:tc>
          <w:tcPr>
            <w:tcW w:w="9809" w:type="dxa"/>
            <w:tcBorders>
              <w:right w:val="single" w:sz="4" w:space="0" w:color="auto"/>
            </w:tcBorders>
          </w:tcPr>
          <w:p w14:paraId="311570D6"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 xml:space="preserve">Deterioro en   el mantenimiento del hogar </w:t>
            </w:r>
          </w:p>
        </w:tc>
      </w:tr>
      <w:tr w:rsidR="00A536D2" w:rsidRPr="00A536D2" w14:paraId="45BA1C7A" w14:textId="77777777" w:rsidTr="000930F5">
        <w:trPr>
          <w:trHeight w:val="414"/>
        </w:trPr>
        <w:tc>
          <w:tcPr>
            <w:tcW w:w="675" w:type="dxa"/>
          </w:tcPr>
          <w:p w14:paraId="0F54DD6A"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3-</w:t>
            </w:r>
          </w:p>
        </w:tc>
        <w:tc>
          <w:tcPr>
            <w:tcW w:w="4395" w:type="dxa"/>
          </w:tcPr>
          <w:p w14:paraId="45BED432" w14:textId="77777777" w:rsidR="00A536D2" w:rsidRPr="00A536D2" w:rsidRDefault="00A536D2" w:rsidP="00A536D2">
            <w:pPr>
              <w:spacing w:before="240"/>
              <w:contextualSpacing/>
              <w:rPr>
                <w:rFonts w:ascii="Arial" w:hAnsi="Arial" w:cs="Arial"/>
              </w:rPr>
            </w:pPr>
            <w:r w:rsidRPr="00A536D2">
              <w:rPr>
                <w:rFonts w:ascii="Arial" w:hAnsi="Arial" w:cs="Arial"/>
              </w:rPr>
              <w:t xml:space="preserve">Adulto mayor </w:t>
            </w:r>
          </w:p>
        </w:tc>
        <w:tc>
          <w:tcPr>
            <w:tcW w:w="9809" w:type="dxa"/>
            <w:tcBorders>
              <w:right w:val="single" w:sz="4" w:space="0" w:color="auto"/>
            </w:tcBorders>
          </w:tcPr>
          <w:p w14:paraId="44DF4DD7"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Protección ineficaz</w:t>
            </w:r>
          </w:p>
        </w:tc>
      </w:tr>
      <w:tr w:rsidR="00A536D2" w:rsidRPr="00A536D2" w14:paraId="7DE3789C" w14:textId="77777777" w:rsidTr="000930F5">
        <w:trPr>
          <w:trHeight w:val="414"/>
        </w:trPr>
        <w:tc>
          <w:tcPr>
            <w:tcW w:w="675" w:type="dxa"/>
          </w:tcPr>
          <w:p w14:paraId="0FE35954"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4-</w:t>
            </w:r>
          </w:p>
        </w:tc>
        <w:tc>
          <w:tcPr>
            <w:tcW w:w="4395" w:type="dxa"/>
          </w:tcPr>
          <w:p w14:paraId="1FE6994D" w14:textId="77777777" w:rsidR="00A536D2" w:rsidRPr="00A536D2" w:rsidRDefault="00A536D2" w:rsidP="00A536D2">
            <w:pPr>
              <w:spacing w:before="240"/>
              <w:contextualSpacing/>
              <w:rPr>
                <w:rFonts w:ascii="Arial" w:hAnsi="Arial" w:cs="Arial"/>
              </w:rPr>
            </w:pPr>
            <w:r w:rsidRPr="00A536D2">
              <w:rPr>
                <w:rFonts w:ascii="Arial" w:hAnsi="Arial" w:cs="Arial"/>
              </w:rPr>
              <w:t>Baño mojado</w:t>
            </w:r>
          </w:p>
        </w:tc>
        <w:tc>
          <w:tcPr>
            <w:tcW w:w="9809" w:type="dxa"/>
            <w:tcBorders>
              <w:right w:val="single" w:sz="4" w:space="0" w:color="auto"/>
            </w:tcBorders>
          </w:tcPr>
          <w:p w14:paraId="6C93D1C6"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Riesgo caídas</w:t>
            </w:r>
          </w:p>
        </w:tc>
      </w:tr>
      <w:tr w:rsidR="00A536D2" w:rsidRPr="00A536D2" w14:paraId="13E69D68" w14:textId="77777777" w:rsidTr="000930F5">
        <w:trPr>
          <w:trHeight w:val="414"/>
        </w:trPr>
        <w:tc>
          <w:tcPr>
            <w:tcW w:w="675" w:type="dxa"/>
          </w:tcPr>
          <w:p w14:paraId="1A96F73A"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5-</w:t>
            </w:r>
          </w:p>
        </w:tc>
        <w:tc>
          <w:tcPr>
            <w:tcW w:w="4395" w:type="dxa"/>
          </w:tcPr>
          <w:p w14:paraId="2C973DF8" w14:textId="77777777" w:rsidR="00A536D2" w:rsidRPr="00A536D2" w:rsidRDefault="00A536D2" w:rsidP="00A536D2">
            <w:pPr>
              <w:spacing w:before="240"/>
              <w:contextualSpacing/>
              <w:rPr>
                <w:rFonts w:ascii="Arial" w:hAnsi="Arial" w:cs="Arial"/>
              </w:rPr>
            </w:pPr>
            <w:r w:rsidRPr="00A536D2">
              <w:rPr>
                <w:rFonts w:ascii="Arial" w:hAnsi="Arial" w:cs="Arial"/>
                <w:i/>
              </w:rPr>
              <w:t>Malas condiciones del piso</w:t>
            </w:r>
          </w:p>
        </w:tc>
        <w:tc>
          <w:tcPr>
            <w:tcW w:w="9809" w:type="dxa"/>
            <w:tcBorders>
              <w:right w:val="single" w:sz="4" w:space="0" w:color="auto"/>
            </w:tcBorders>
          </w:tcPr>
          <w:p w14:paraId="41311B06"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Riesgo caídas</w:t>
            </w:r>
          </w:p>
        </w:tc>
      </w:tr>
      <w:tr w:rsidR="00A536D2" w:rsidRPr="00A536D2" w14:paraId="76DB9BA0" w14:textId="77777777" w:rsidTr="000930F5">
        <w:trPr>
          <w:trHeight w:val="414"/>
        </w:trPr>
        <w:tc>
          <w:tcPr>
            <w:tcW w:w="675" w:type="dxa"/>
          </w:tcPr>
          <w:p w14:paraId="11316BA9"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6-</w:t>
            </w:r>
          </w:p>
        </w:tc>
        <w:tc>
          <w:tcPr>
            <w:tcW w:w="4395" w:type="dxa"/>
          </w:tcPr>
          <w:p w14:paraId="2FFBF3CF" w14:textId="77777777" w:rsidR="00A536D2" w:rsidRPr="00A536D2" w:rsidRDefault="00A536D2" w:rsidP="00A536D2">
            <w:pPr>
              <w:tabs>
                <w:tab w:val="left" w:pos="4649"/>
              </w:tabs>
              <w:spacing w:before="240"/>
              <w:contextualSpacing/>
              <w:rPr>
                <w:rFonts w:ascii="Arial" w:hAnsi="Arial" w:cs="Arial"/>
              </w:rPr>
            </w:pPr>
            <w:r w:rsidRPr="00A536D2">
              <w:rPr>
                <w:rFonts w:ascii="Arial" w:hAnsi="Arial" w:cs="Arial"/>
              </w:rPr>
              <w:t>No usan mosquitero, existen recipientes donde almacenan agua sin tapa</w:t>
            </w:r>
          </w:p>
        </w:tc>
        <w:tc>
          <w:tcPr>
            <w:tcW w:w="9809" w:type="dxa"/>
            <w:tcBorders>
              <w:right w:val="single" w:sz="4" w:space="0" w:color="auto"/>
            </w:tcBorders>
          </w:tcPr>
          <w:p w14:paraId="6FC515A0"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Deterioro en   el mantenimiento del hogar</w:t>
            </w:r>
          </w:p>
        </w:tc>
      </w:tr>
      <w:tr w:rsidR="00A536D2" w:rsidRPr="00A536D2" w14:paraId="05B301D9" w14:textId="77777777" w:rsidTr="000930F5">
        <w:trPr>
          <w:trHeight w:val="414"/>
        </w:trPr>
        <w:tc>
          <w:tcPr>
            <w:tcW w:w="675" w:type="dxa"/>
          </w:tcPr>
          <w:p w14:paraId="61EE36BE"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7-</w:t>
            </w:r>
          </w:p>
        </w:tc>
        <w:tc>
          <w:tcPr>
            <w:tcW w:w="4395" w:type="dxa"/>
          </w:tcPr>
          <w:p w14:paraId="0AB70D57" w14:textId="77777777" w:rsidR="00A536D2" w:rsidRPr="00A536D2" w:rsidRDefault="00A536D2" w:rsidP="00A536D2">
            <w:pPr>
              <w:tabs>
                <w:tab w:val="left" w:pos="4649"/>
              </w:tabs>
              <w:spacing w:before="240"/>
              <w:contextualSpacing/>
              <w:rPr>
                <w:rFonts w:ascii="Arial" w:hAnsi="Arial" w:cs="Arial"/>
              </w:rPr>
            </w:pPr>
            <w:r w:rsidRPr="00A536D2">
              <w:rPr>
                <w:rFonts w:ascii="Arial" w:hAnsi="Arial" w:cs="Arial"/>
              </w:rPr>
              <w:t>Exposición de humo procedente de la quema de desechos sólidos.</w:t>
            </w:r>
          </w:p>
        </w:tc>
        <w:tc>
          <w:tcPr>
            <w:tcW w:w="9809" w:type="dxa"/>
            <w:tcBorders>
              <w:right w:val="single" w:sz="4" w:space="0" w:color="auto"/>
            </w:tcBorders>
          </w:tcPr>
          <w:p w14:paraId="2B876ED1"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Contaminación</w:t>
            </w:r>
          </w:p>
        </w:tc>
      </w:tr>
      <w:tr w:rsidR="00A536D2" w:rsidRPr="00A536D2" w14:paraId="4D025885" w14:textId="77777777" w:rsidTr="000930F5">
        <w:trPr>
          <w:trHeight w:val="414"/>
        </w:trPr>
        <w:tc>
          <w:tcPr>
            <w:tcW w:w="675" w:type="dxa"/>
          </w:tcPr>
          <w:p w14:paraId="3F5AA4F8"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8-</w:t>
            </w:r>
          </w:p>
        </w:tc>
        <w:tc>
          <w:tcPr>
            <w:tcW w:w="4395" w:type="dxa"/>
          </w:tcPr>
          <w:p w14:paraId="13778E58" w14:textId="77777777" w:rsidR="00A536D2" w:rsidRPr="00A536D2" w:rsidRDefault="00A536D2" w:rsidP="00A536D2">
            <w:pPr>
              <w:tabs>
                <w:tab w:val="left" w:pos="4649"/>
              </w:tabs>
              <w:spacing w:before="240"/>
              <w:contextualSpacing/>
              <w:rPr>
                <w:rFonts w:ascii="Arial" w:hAnsi="Arial" w:cs="Arial"/>
              </w:rPr>
            </w:pPr>
            <w:r w:rsidRPr="00A536D2">
              <w:rPr>
                <w:rFonts w:ascii="Arial" w:hAnsi="Arial" w:cs="Arial"/>
              </w:rPr>
              <w:t xml:space="preserve">Crisis </w:t>
            </w:r>
            <w:proofErr w:type="spellStart"/>
            <w:r w:rsidRPr="00A536D2">
              <w:rPr>
                <w:rFonts w:ascii="Arial" w:hAnsi="Arial" w:cs="Arial"/>
              </w:rPr>
              <w:t>paranormativa</w:t>
            </w:r>
            <w:proofErr w:type="spellEnd"/>
            <w:r w:rsidRPr="00A536D2">
              <w:rPr>
                <w:rFonts w:ascii="Arial" w:hAnsi="Arial" w:cs="Arial"/>
              </w:rPr>
              <w:t xml:space="preserve"> por cambio económico importante en sentido negativo</w:t>
            </w:r>
          </w:p>
        </w:tc>
        <w:tc>
          <w:tcPr>
            <w:tcW w:w="9809" w:type="dxa"/>
            <w:tcBorders>
              <w:right w:val="single" w:sz="4" w:space="0" w:color="auto"/>
            </w:tcBorders>
          </w:tcPr>
          <w:p w14:paraId="6C9C8E0C"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Interrupción de los procesos familiares</w:t>
            </w:r>
          </w:p>
        </w:tc>
      </w:tr>
    </w:tbl>
    <w:p w14:paraId="00F1D65F" w14:textId="77777777" w:rsidR="00A536D2" w:rsidRDefault="00A536D2" w:rsidP="00AB2B4F">
      <w:pPr>
        <w:jc w:val="both"/>
        <w:rPr>
          <w:rFonts w:ascii="Arial" w:eastAsia="Times New Roman" w:hAnsi="Arial" w:cs="Arial"/>
          <w:b/>
          <w:bCs/>
          <w:sz w:val="24"/>
          <w:szCs w:val="24"/>
          <w:lang w:eastAsia="es-ES"/>
        </w:rPr>
      </w:pPr>
    </w:p>
    <w:p w14:paraId="601EE123" w14:textId="373C52A3" w:rsidR="00AB2B4F" w:rsidRPr="00AB2B4F" w:rsidRDefault="00AB2B4F" w:rsidP="00AB2B4F">
      <w:pPr>
        <w:jc w:val="both"/>
        <w:rPr>
          <w:rFonts w:ascii="Arial" w:eastAsia="Times New Roman" w:hAnsi="Arial" w:cs="Arial"/>
          <w:b/>
          <w:bCs/>
          <w:sz w:val="24"/>
          <w:szCs w:val="24"/>
          <w:lang w:eastAsia="es-ES"/>
        </w:rPr>
      </w:pPr>
      <w:r w:rsidRPr="00AB2B4F">
        <w:rPr>
          <w:rFonts w:ascii="Arial" w:eastAsia="Times New Roman" w:hAnsi="Arial" w:cs="Arial"/>
          <w:b/>
          <w:bCs/>
          <w:sz w:val="24"/>
          <w:szCs w:val="24"/>
          <w:lang w:eastAsia="es-ES"/>
        </w:rPr>
        <w:t xml:space="preserve">No son estos los únicos diagnósticos de enfermería aceptados por la </w:t>
      </w:r>
      <w:proofErr w:type="gramStart"/>
      <w:r w:rsidRPr="00AB2B4F">
        <w:rPr>
          <w:rFonts w:ascii="Arial" w:eastAsia="Times New Roman" w:hAnsi="Arial" w:cs="Arial"/>
          <w:b/>
          <w:bCs/>
          <w:sz w:val="24"/>
          <w:szCs w:val="24"/>
          <w:lang w:eastAsia="es-ES"/>
        </w:rPr>
        <w:t>NANDA</w:t>
      </w:r>
      <w:proofErr w:type="gramEnd"/>
      <w:r w:rsidRPr="00AB2B4F">
        <w:rPr>
          <w:rFonts w:ascii="Arial" w:eastAsia="Times New Roman" w:hAnsi="Arial" w:cs="Arial"/>
          <w:b/>
          <w:bCs/>
          <w:sz w:val="24"/>
          <w:szCs w:val="24"/>
          <w:lang w:eastAsia="es-ES"/>
        </w:rPr>
        <w:t xml:space="preserve"> pero son los más aplicados en la </w:t>
      </w:r>
      <w:r w:rsidR="00A536D2">
        <w:rPr>
          <w:rFonts w:ascii="Arial" w:eastAsia="Times New Roman" w:hAnsi="Arial" w:cs="Arial"/>
          <w:b/>
          <w:bCs/>
          <w:sz w:val="24"/>
          <w:szCs w:val="24"/>
          <w:lang w:eastAsia="es-ES"/>
        </w:rPr>
        <w:t>APS</w:t>
      </w:r>
      <w:r w:rsidRPr="00AB2B4F">
        <w:rPr>
          <w:rFonts w:ascii="Arial" w:eastAsia="Times New Roman" w:hAnsi="Arial" w:cs="Arial"/>
          <w:b/>
          <w:bCs/>
          <w:sz w:val="24"/>
          <w:szCs w:val="24"/>
          <w:lang w:eastAsia="es-ES"/>
        </w:rPr>
        <w:t>.</w:t>
      </w:r>
    </w:p>
    <w:p w14:paraId="1BAFE90A" w14:textId="3341B39D" w:rsidR="00AB2B4F" w:rsidRPr="00AB2B4F" w:rsidRDefault="00AB2B4F" w:rsidP="00AB2B4F">
      <w:pPr>
        <w:jc w:val="both"/>
        <w:rPr>
          <w:rFonts w:ascii="Arial" w:eastAsia="Times New Roman" w:hAnsi="Arial" w:cs="Arial"/>
          <w:b/>
          <w:bCs/>
          <w:sz w:val="24"/>
          <w:szCs w:val="24"/>
          <w:lang w:eastAsia="es-ES"/>
        </w:rPr>
      </w:pPr>
      <w:r w:rsidRPr="00AB2B4F">
        <w:rPr>
          <w:rFonts w:ascii="Arial" w:eastAsia="Times New Roman" w:hAnsi="Arial" w:cs="Arial"/>
          <w:b/>
          <w:bCs/>
          <w:sz w:val="24"/>
          <w:szCs w:val="24"/>
          <w:lang w:eastAsia="es-ES"/>
        </w:rPr>
        <w:t>EJEMPLO DE DIAGNÓSTICO DE ENFERMERÍA</w:t>
      </w:r>
      <w:r w:rsidR="00A536D2">
        <w:rPr>
          <w:rFonts w:ascii="Arial" w:eastAsia="Times New Roman" w:hAnsi="Arial" w:cs="Arial"/>
          <w:b/>
          <w:bCs/>
          <w:sz w:val="24"/>
          <w:szCs w:val="24"/>
          <w:lang w:eastAsia="es-ES"/>
        </w:rPr>
        <w:t xml:space="preserve"> CON SU FACTOR RELACIONADO</w:t>
      </w:r>
    </w:p>
    <w:tbl>
      <w:tblPr>
        <w:tblStyle w:val="TableGrid4"/>
        <w:tblW w:w="15055" w:type="dxa"/>
        <w:tblInd w:w="-176" w:type="dxa"/>
        <w:tblLook w:val="04A0" w:firstRow="1" w:lastRow="0" w:firstColumn="1" w:lastColumn="0" w:noHBand="0" w:noVBand="1"/>
      </w:tblPr>
      <w:tblGrid>
        <w:gridCol w:w="4991"/>
        <w:gridCol w:w="3118"/>
        <w:gridCol w:w="6946"/>
      </w:tblGrid>
      <w:tr w:rsidR="00A536D2" w:rsidRPr="00A536D2" w14:paraId="72BA4004" w14:textId="77777777" w:rsidTr="000930F5">
        <w:trPr>
          <w:trHeight w:val="388"/>
        </w:trPr>
        <w:tc>
          <w:tcPr>
            <w:tcW w:w="4991" w:type="dxa"/>
          </w:tcPr>
          <w:p w14:paraId="1CF61586" w14:textId="77777777" w:rsidR="00A536D2" w:rsidRPr="00A536D2" w:rsidRDefault="00A536D2" w:rsidP="00A536D2">
            <w:pPr>
              <w:spacing w:before="240"/>
              <w:contextualSpacing/>
              <w:rPr>
                <w:rFonts w:ascii="Arial" w:hAnsi="Arial" w:cs="Arial"/>
                <w:b/>
              </w:rPr>
            </w:pPr>
            <w:r w:rsidRPr="00A536D2">
              <w:rPr>
                <w:rFonts w:ascii="Arial" w:hAnsi="Arial" w:cs="Arial"/>
                <w:b/>
              </w:rPr>
              <w:t>Datos negativos</w:t>
            </w:r>
          </w:p>
        </w:tc>
        <w:tc>
          <w:tcPr>
            <w:tcW w:w="3118" w:type="dxa"/>
          </w:tcPr>
          <w:p w14:paraId="27A470E0" w14:textId="77777777" w:rsidR="00A536D2" w:rsidRPr="00A536D2" w:rsidRDefault="00A536D2" w:rsidP="00A536D2">
            <w:pPr>
              <w:spacing w:before="240"/>
              <w:contextualSpacing/>
              <w:rPr>
                <w:rFonts w:ascii="Arial" w:hAnsi="Arial" w:cs="Arial"/>
                <w:b/>
              </w:rPr>
            </w:pPr>
            <w:r w:rsidRPr="00A536D2">
              <w:rPr>
                <w:rFonts w:ascii="Arial" w:hAnsi="Arial" w:cs="Arial"/>
                <w:b/>
              </w:rPr>
              <w:t>Diagnostico</w:t>
            </w:r>
          </w:p>
        </w:tc>
        <w:tc>
          <w:tcPr>
            <w:tcW w:w="6946" w:type="dxa"/>
          </w:tcPr>
          <w:p w14:paraId="6A8B07E1" w14:textId="77777777" w:rsidR="00A536D2" w:rsidRPr="00A536D2" w:rsidRDefault="00A536D2" w:rsidP="00A536D2">
            <w:pPr>
              <w:spacing w:before="240"/>
              <w:contextualSpacing/>
              <w:rPr>
                <w:rFonts w:ascii="Arial" w:hAnsi="Arial" w:cs="Arial"/>
                <w:b/>
              </w:rPr>
            </w:pPr>
            <w:proofErr w:type="gramStart"/>
            <w:r w:rsidRPr="00A536D2">
              <w:rPr>
                <w:rFonts w:ascii="Arial" w:hAnsi="Arial" w:cs="Arial"/>
                <w:b/>
              </w:rPr>
              <w:t>Factor  /</w:t>
            </w:r>
            <w:proofErr w:type="gramEnd"/>
            <w:r w:rsidRPr="00A536D2">
              <w:rPr>
                <w:rFonts w:ascii="Arial" w:hAnsi="Arial" w:cs="Arial"/>
                <w:b/>
              </w:rPr>
              <w:t xml:space="preserve">relacionado </w:t>
            </w:r>
          </w:p>
        </w:tc>
      </w:tr>
      <w:tr w:rsidR="00A536D2" w:rsidRPr="00A536D2" w14:paraId="15BC66D3" w14:textId="77777777" w:rsidTr="000930F5">
        <w:trPr>
          <w:trHeight w:val="388"/>
        </w:trPr>
        <w:tc>
          <w:tcPr>
            <w:tcW w:w="4991" w:type="dxa"/>
          </w:tcPr>
          <w:p w14:paraId="6E36CE44" w14:textId="77777777" w:rsidR="00A536D2" w:rsidRPr="00A536D2" w:rsidRDefault="00A536D2" w:rsidP="00A536D2">
            <w:pPr>
              <w:spacing w:before="240"/>
              <w:contextualSpacing/>
              <w:rPr>
                <w:rFonts w:ascii="Arial" w:hAnsi="Arial" w:cs="Arial"/>
              </w:rPr>
            </w:pPr>
            <w:r w:rsidRPr="00A536D2">
              <w:rPr>
                <w:rFonts w:ascii="Arial" w:hAnsi="Arial" w:cs="Arial"/>
                <w:i/>
              </w:rPr>
              <w:t>Baja percepción de riesgo (pocos conocimientos)</w:t>
            </w:r>
          </w:p>
        </w:tc>
        <w:tc>
          <w:tcPr>
            <w:tcW w:w="3118" w:type="dxa"/>
          </w:tcPr>
          <w:p w14:paraId="4793E76F"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Conocimientos deficientes</w:t>
            </w:r>
          </w:p>
        </w:tc>
        <w:tc>
          <w:tcPr>
            <w:tcW w:w="6946" w:type="dxa"/>
          </w:tcPr>
          <w:p w14:paraId="10227A59" w14:textId="77777777" w:rsidR="00A536D2" w:rsidRPr="00A536D2" w:rsidRDefault="00A536D2" w:rsidP="00A536D2">
            <w:pPr>
              <w:spacing w:before="240"/>
              <w:contextualSpacing/>
              <w:jc w:val="both"/>
              <w:rPr>
                <w:rFonts w:ascii="Arial" w:hAnsi="Arial" w:cs="Arial"/>
              </w:rPr>
            </w:pPr>
            <w:r w:rsidRPr="00A536D2">
              <w:rPr>
                <w:rFonts w:ascii="Arial" w:hAnsi="Arial" w:cs="Arial"/>
              </w:rPr>
              <w:t xml:space="preserve"> El Insuficiente interés en el aprendizaje.                                                                </w:t>
            </w:r>
          </w:p>
        </w:tc>
      </w:tr>
      <w:tr w:rsidR="00A536D2" w:rsidRPr="00A536D2" w14:paraId="3FC736F0" w14:textId="77777777" w:rsidTr="000930F5">
        <w:trPr>
          <w:trHeight w:val="388"/>
        </w:trPr>
        <w:tc>
          <w:tcPr>
            <w:tcW w:w="4991" w:type="dxa"/>
          </w:tcPr>
          <w:p w14:paraId="77C172DB" w14:textId="77777777" w:rsidR="00A536D2" w:rsidRPr="00A536D2" w:rsidRDefault="00A536D2" w:rsidP="00A536D2">
            <w:pPr>
              <w:spacing w:before="240"/>
              <w:contextualSpacing/>
              <w:rPr>
                <w:rFonts w:ascii="Arial" w:hAnsi="Arial" w:cs="Arial"/>
              </w:rPr>
            </w:pPr>
            <w:r w:rsidRPr="00A536D2">
              <w:rPr>
                <w:rFonts w:ascii="Arial" w:hAnsi="Arial" w:cs="Arial"/>
                <w:i/>
              </w:rPr>
              <w:t>Malas condiciones económicas</w:t>
            </w:r>
          </w:p>
        </w:tc>
        <w:tc>
          <w:tcPr>
            <w:tcW w:w="3118" w:type="dxa"/>
          </w:tcPr>
          <w:p w14:paraId="53604354"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 xml:space="preserve">Deterioro en   el mantenimiento del hogar </w:t>
            </w:r>
          </w:p>
        </w:tc>
        <w:tc>
          <w:tcPr>
            <w:tcW w:w="6946" w:type="dxa"/>
          </w:tcPr>
          <w:p w14:paraId="2F03CC73" w14:textId="77777777" w:rsidR="00A536D2" w:rsidRPr="00A536D2" w:rsidRDefault="00A536D2" w:rsidP="00A536D2">
            <w:pPr>
              <w:spacing w:before="240"/>
              <w:contextualSpacing/>
              <w:jc w:val="both"/>
              <w:rPr>
                <w:rFonts w:ascii="Arial" w:hAnsi="Arial" w:cs="Arial"/>
              </w:rPr>
            </w:pPr>
            <w:r w:rsidRPr="00A536D2">
              <w:rPr>
                <w:rFonts w:ascii="Arial" w:hAnsi="Arial" w:cs="Arial"/>
              </w:rPr>
              <w:t>Planificación familiar insuficiente. Conocimiento insuficiente sobre el mantenimiento del hogar.</w:t>
            </w:r>
          </w:p>
        </w:tc>
      </w:tr>
      <w:tr w:rsidR="00A536D2" w:rsidRPr="00A536D2" w14:paraId="00461DE5" w14:textId="77777777" w:rsidTr="000930F5">
        <w:trPr>
          <w:trHeight w:val="388"/>
        </w:trPr>
        <w:tc>
          <w:tcPr>
            <w:tcW w:w="4991" w:type="dxa"/>
          </w:tcPr>
          <w:p w14:paraId="589362E3" w14:textId="77777777" w:rsidR="00A536D2" w:rsidRPr="00A536D2" w:rsidRDefault="00A536D2" w:rsidP="00A536D2">
            <w:pPr>
              <w:spacing w:before="240"/>
              <w:contextualSpacing/>
              <w:rPr>
                <w:rFonts w:ascii="Arial" w:hAnsi="Arial" w:cs="Arial"/>
              </w:rPr>
            </w:pPr>
            <w:r w:rsidRPr="00A536D2">
              <w:rPr>
                <w:rFonts w:ascii="Arial" w:hAnsi="Arial" w:cs="Arial"/>
              </w:rPr>
              <w:t xml:space="preserve">Adulto mayor </w:t>
            </w:r>
          </w:p>
        </w:tc>
        <w:tc>
          <w:tcPr>
            <w:tcW w:w="3118" w:type="dxa"/>
          </w:tcPr>
          <w:p w14:paraId="2945862B"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Protección ineficaz</w:t>
            </w:r>
          </w:p>
        </w:tc>
        <w:tc>
          <w:tcPr>
            <w:tcW w:w="6946" w:type="dxa"/>
          </w:tcPr>
          <w:p w14:paraId="6B38E215" w14:textId="77777777" w:rsidR="00A536D2" w:rsidRPr="00A536D2" w:rsidRDefault="00A536D2" w:rsidP="00A536D2">
            <w:pPr>
              <w:spacing w:before="240"/>
              <w:contextualSpacing/>
              <w:jc w:val="both"/>
              <w:rPr>
                <w:rFonts w:ascii="Arial" w:hAnsi="Arial" w:cs="Arial"/>
              </w:rPr>
            </w:pPr>
            <w:r w:rsidRPr="00A536D2">
              <w:rPr>
                <w:rFonts w:ascii="Arial" w:hAnsi="Arial" w:cs="Arial"/>
              </w:rPr>
              <w:t xml:space="preserve">Extremo de edad </w:t>
            </w:r>
          </w:p>
        </w:tc>
      </w:tr>
      <w:tr w:rsidR="00A536D2" w:rsidRPr="00A536D2" w14:paraId="48A08C03" w14:textId="77777777" w:rsidTr="000930F5">
        <w:trPr>
          <w:trHeight w:val="388"/>
        </w:trPr>
        <w:tc>
          <w:tcPr>
            <w:tcW w:w="4991" w:type="dxa"/>
          </w:tcPr>
          <w:p w14:paraId="1CF57ACA" w14:textId="77777777" w:rsidR="00A536D2" w:rsidRPr="00A536D2" w:rsidRDefault="00A536D2" w:rsidP="00A536D2">
            <w:pPr>
              <w:spacing w:before="240"/>
              <w:contextualSpacing/>
              <w:rPr>
                <w:rFonts w:ascii="Arial" w:hAnsi="Arial" w:cs="Arial"/>
              </w:rPr>
            </w:pPr>
            <w:r w:rsidRPr="00A536D2">
              <w:rPr>
                <w:rFonts w:ascii="Arial" w:hAnsi="Arial" w:cs="Arial"/>
              </w:rPr>
              <w:t>Baño mojado</w:t>
            </w:r>
          </w:p>
        </w:tc>
        <w:tc>
          <w:tcPr>
            <w:tcW w:w="3118" w:type="dxa"/>
          </w:tcPr>
          <w:p w14:paraId="10744B63"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Riesgo caídas</w:t>
            </w:r>
          </w:p>
        </w:tc>
        <w:tc>
          <w:tcPr>
            <w:tcW w:w="6946" w:type="dxa"/>
          </w:tcPr>
          <w:p w14:paraId="587CD913" w14:textId="77777777" w:rsidR="00A536D2" w:rsidRPr="00A536D2" w:rsidRDefault="00A536D2" w:rsidP="00A536D2">
            <w:pPr>
              <w:spacing w:before="240"/>
              <w:contextualSpacing/>
              <w:jc w:val="both"/>
              <w:rPr>
                <w:rFonts w:ascii="Arial" w:hAnsi="Arial" w:cs="Arial"/>
              </w:rPr>
            </w:pPr>
            <w:r w:rsidRPr="00A536D2">
              <w:rPr>
                <w:rFonts w:ascii="Arial" w:hAnsi="Arial" w:cs="Arial"/>
              </w:rPr>
              <w:t xml:space="preserve">Material antideslizante insuficiente en el baño, </w:t>
            </w:r>
          </w:p>
        </w:tc>
      </w:tr>
      <w:tr w:rsidR="00A536D2" w:rsidRPr="00A536D2" w14:paraId="229086DA" w14:textId="77777777" w:rsidTr="000930F5">
        <w:trPr>
          <w:trHeight w:val="388"/>
        </w:trPr>
        <w:tc>
          <w:tcPr>
            <w:tcW w:w="4991" w:type="dxa"/>
          </w:tcPr>
          <w:p w14:paraId="52282E53" w14:textId="77777777" w:rsidR="00A536D2" w:rsidRPr="00A536D2" w:rsidRDefault="00A536D2" w:rsidP="00A536D2">
            <w:pPr>
              <w:spacing w:before="240"/>
              <w:contextualSpacing/>
              <w:rPr>
                <w:rFonts w:ascii="Arial" w:hAnsi="Arial" w:cs="Arial"/>
              </w:rPr>
            </w:pPr>
            <w:r w:rsidRPr="00A536D2">
              <w:rPr>
                <w:rFonts w:ascii="Arial" w:hAnsi="Arial" w:cs="Arial"/>
                <w:i/>
              </w:rPr>
              <w:t>Malas condiciones del piso</w:t>
            </w:r>
          </w:p>
        </w:tc>
        <w:tc>
          <w:tcPr>
            <w:tcW w:w="3118" w:type="dxa"/>
          </w:tcPr>
          <w:p w14:paraId="6A85FAD2"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Riesgo caídas</w:t>
            </w:r>
          </w:p>
        </w:tc>
        <w:tc>
          <w:tcPr>
            <w:tcW w:w="6946" w:type="dxa"/>
          </w:tcPr>
          <w:p w14:paraId="30F42DDF" w14:textId="77777777" w:rsidR="00A536D2" w:rsidRPr="00A536D2" w:rsidRDefault="00A536D2" w:rsidP="00A536D2">
            <w:pPr>
              <w:spacing w:before="240"/>
              <w:contextualSpacing/>
              <w:jc w:val="both"/>
              <w:rPr>
                <w:rFonts w:ascii="Arial" w:hAnsi="Arial" w:cs="Arial"/>
              </w:rPr>
            </w:pPr>
            <w:r w:rsidRPr="00A536D2">
              <w:rPr>
                <w:rFonts w:ascii="Arial" w:hAnsi="Arial" w:cs="Arial"/>
              </w:rPr>
              <w:t>Conocimientos insuficientes.</w:t>
            </w:r>
          </w:p>
        </w:tc>
      </w:tr>
      <w:tr w:rsidR="00A536D2" w:rsidRPr="00A536D2" w14:paraId="62B3F38C" w14:textId="77777777" w:rsidTr="000930F5">
        <w:trPr>
          <w:trHeight w:val="388"/>
        </w:trPr>
        <w:tc>
          <w:tcPr>
            <w:tcW w:w="4991" w:type="dxa"/>
          </w:tcPr>
          <w:p w14:paraId="1D920D93" w14:textId="77777777" w:rsidR="00A536D2" w:rsidRPr="00A536D2" w:rsidRDefault="00A536D2" w:rsidP="00A536D2">
            <w:pPr>
              <w:tabs>
                <w:tab w:val="left" w:pos="4649"/>
              </w:tabs>
              <w:spacing w:before="240"/>
              <w:contextualSpacing/>
              <w:rPr>
                <w:rFonts w:ascii="Arial" w:hAnsi="Arial" w:cs="Arial"/>
              </w:rPr>
            </w:pPr>
            <w:r w:rsidRPr="00A536D2">
              <w:rPr>
                <w:rFonts w:ascii="Arial" w:hAnsi="Arial" w:cs="Arial"/>
              </w:rPr>
              <w:t>No usan mosquitero, existen recipientes donde almacenan agua sin tapa</w:t>
            </w:r>
          </w:p>
          <w:p w14:paraId="071F729C" w14:textId="77777777" w:rsidR="00A536D2" w:rsidRPr="00A536D2" w:rsidRDefault="00A536D2" w:rsidP="00A536D2">
            <w:pPr>
              <w:spacing w:before="240"/>
              <w:contextualSpacing/>
              <w:rPr>
                <w:rFonts w:ascii="Arial" w:hAnsi="Arial" w:cs="Arial"/>
              </w:rPr>
            </w:pPr>
          </w:p>
        </w:tc>
        <w:tc>
          <w:tcPr>
            <w:tcW w:w="3118" w:type="dxa"/>
          </w:tcPr>
          <w:p w14:paraId="5C7C729B"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 xml:space="preserve">Deterioro en   el mantenimiento del hogar </w:t>
            </w:r>
          </w:p>
        </w:tc>
        <w:tc>
          <w:tcPr>
            <w:tcW w:w="6946" w:type="dxa"/>
          </w:tcPr>
          <w:p w14:paraId="2D459D65" w14:textId="77777777" w:rsidR="00A536D2" w:rsidRPr="00A536D2" w:rsidRDefault="00A536D2" w:rsidP="00A536D2">
            <w:pPr>
              <w:spacing w:before="240"/>
              <w:contextualSpacing/>
              <w:jc w:val="both"/>
              <w:rPr>
                <w:rFonts w:ascii="Arial" w:hAnsi="Arial" w:cs="Arial"/>
              </w:rPr>
            </w:pPr>
            <w:r w:rsidRPr="00A536D2">
              <w:rPr>
                <w:rFonts w:ascii="Arial" w:hAnsi="Arial" w:cs="Arial"/>
              </w:rPr>
              <w:t>Planificación familiar insuficiente. Conocimiento insuficiente sobre el mantenimiento del hogar.</w:t>
            </w:r>
          </w:p>
        </w:tc>
      </w:tr>
      <w:tr w:rsidR="00A536D2" w:rsidRPr="00A536D2" w14:paraId="5CA63A5D" w14:textId="77777777" w:rsidTr="000930F5">
        <w:trPr>
          <w:trHeight w:val="388"/>
        </w:trPr>
        <w:tc>
          <w:tcPr>
            <w:tcW w:w="4991" w:type="dxa"/>
          </w:tcPr>
          <w:p w14:paraId="2C93231E" w14:textId="77777777" w:rsidR="00A536D2" w:rsidRPr="00A536D2" w:rsidRDefault="00A536D2" w:rsidP="00A536D2">
            <w:pPr>
              <w:tabs>
                <w:tab w:val="left" w:pos="4649"/>
              </w:tabs>
              <w:spacing w:before="240"/>
              <w:contextualSpacing/>
              <w:rPr>
                <w:rFonts w:ascii="Arial" w:hAnsi="Arial" w:cs="Arial"/>
              </w:rPr>
            </w:pPr>
            <w:r w:rsidRPr="00A536D2">
              <w:rPr>
                <w:rFonts w:ascii="Arial" w:hAnsi="Arial" w:cs="Arial"/>
              </w:rPr>
              <w:t>Exposición de humo procedente de la quema de desechos sólidos.</w:t>
            </w:r>
          </w:p>
          <w:p w14:paraId="23B706E6" w14:textId="77777777" w:rsidR="00A536D2" w:rsidRPr="00A536D2" w:rsidRDefault="00A536D2" w:rsidP="00A536D2">
            <w:pPr>
              <w:spacing w:before="240"/>
              <w:contextualSpacing/>
              <w:rPr>
                <w:rFonts w:ascii="Arial" w:hAnsi="Arial" w:cs="Arial"/>
              </w:rPr>
            </w:pPr>
          </w:p>
        </w:tc>
        <w:tc>
          <w:tcPr>
            <w:tcW w:w="3118" w:type="dxa"/>
          </w:tcPr>
          <w:p w14:paraId="3F906698"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contaminación</w:t>
            </w:r>
          </w:p>
        </w:tc>
        <w:tc>
          <w:tcPr>
            <w:tcW w:w="6946" w:type="dxa"/>
          </w:tcPr>
          <w:p w14:paraId="21BCA22C" w14:textId="77777777" w:rsidR="00A536D2" w:rsidRPr="00A536D2" w:rsidRDefault="00A536D2" w:rsidP="00A536D2">
            <w:pPr>
              <w:spacing w:before="240"/>
              <w:contextualSpacing/>
              <w:jc w:val="both"/>
              <w:rPr>
                <w:rFonts w:ascii="Arial" w:hAnsi="Arial" w:cs="Arial"/>
              </w:rPr>
            </w:pPr>
            <w:r w:rsidRPr="00A536D2">
              <w:rPr>
                <w:rFonts w:ascii="Arial" w:hAnsi="Arial" w:cs="Arial"/>
              </w:rPr>
              <w:t xml:space="preserve">Factores externos Prácticas de higiene doméstica inadecuada </w:t>
            </w:r>
          </w:p>
        </w:tc>
      </w:tr>
      <w:tr w:rsidR="00A536D2" w:rsidRPr="00A536D2" w14:paraId="501615FC" w14:textId="77777777" w:rsidTr="000930F5">
        <w:trPr>
          <w:trHeight w:val="388"/>
        </w:trPr>
        <w:tc>
          <w:tcPr>
            <w:tcW w:w="4991" w:type="dxa"/>
          </w:tcPr>
          <w:p w14:paraId="7019ED74" w14:textId="77777777" w:rsidR="00A536D2" w:rsidRPr="00A536D2" w:rsidRDefault="00A536D2" w:rsidP="00A536D2">
            <w:pPr>
              <w:tabs>
                <w:tab w:val="left" w:pos="4649"/>
              </w:tabs>
              <w:spacing w:before="240"/>
              <w:contextualSpacing/>
              <w:rPr>
                <w:rFonts w:ascii="Arial" w:hAnsi="Arial" w:cs="Arial"/>
              </w:rPr>
            </w:pPr>
            <w:r w:rsidRPr="00A536D2">
              <w:rPr>
                <w:rFonts w:ascii="Arial" w:hAnsi="Arial" w:cs="Arial"/>
              </w:rPr>
              <w:t xml:space="preserve">Crisis </w:t>
            </w:r>
            <w:proofErr w:type="spellStart"/>
            <w:r w:rsidRPr="00A536D2">
              <w:rPr>
                <w:rFonts w:ascii="Arial" w:hAnsi="Arial" w:cs="Arial"/>
              </w:rPr>
              <w:t>paranormativa</w:t>
            </w:r>
            <w:proofErr w:type="spellEnd"/>
            <w:r w:rsidRPr="00A536D2">
              <w:rPr>
                <w:rFonts w:ascii="Arial" w:hAnsi="Arial" w:cs="Arial"/>
              </w:rPr>
              <w:t xml:space="preserve"> por cambio económico </w:t>
            </w:r>
            <w:proofErr w:type="gramStart"/>
            <w:r w:rsidRPr="00A536D2">
              <w:rPr>
                <w:rFonts w:ascii="Arial" w:hAnsi="Arial" w:cs="Arial"/>
              </w:rPr>
              <w:t>importante  en</w:t>
            </w:r>
            <w:proofErr w:type="gramEnd"/>
            <w:r w:rsidRPr="00A536D2">
              <w:rPr>
                <w:rFonts w:ascii="Arial" w:hAnsi="Arial" w:cs="Arial"/>
              </w:rPr>
              <w:t xml:space="preserve"> sentido negativo</w:t>
            </w:r>
          </w:p>
        </w:tc>
        <w:tc>
          <w:tcPr>
            <w:tcW w:w="3118" w:type="dxa"/>
          </w:tcPr>
          <w:p w14:paraId="2DB77C05" w14:textId="77777777" w:rsidR="00A536D2" w:rsidRPr="00A536D2" w:rsidRDefault="00A536D2" w:rsidP="00A536D2">
            <w:pPr>
              <w:tabs>
                <w:tab w:val="left" w:pos="1275"/>
              </w:tabs>
              <w:spacing w:before="240"/>
              <w:contextualSpacing/>
              <w:rPr>
                <w:rFonts w:ascii="Arial" w:hAnsi="Arial" w:cs="Arial"/>
              </w:rPr>
            </w:pPr>
            <w:r w:rsidRPr="00A536D2">
              <w:rPr>
                <w:rFonts w:ascii="Arial" w:hAnsi="Arial" w:cs="Arial"/>
              </w:rPr>
              <w:t xml:space="preserve">Interrupción de los procesos familiares </w:t>
            </w:r>
          </w:p>
        </w:tc>
        <w:tc>
          <w:tcPr>
            <w:tcW w:w="6946" w:type="dxa"/>
          </w:tcPr>
          <w:p w14:paraId="731D8F79" w14:textId="77777777" w:rsidR="00A536D2" w:rsidRPr="00A536D2" w:rsidRDefault="00A536D2" w:rsidP="00A536D2">
            <w:pPr>
              <w:spacing w:before="240"/>
              <w:contextualSpacing/>
              <w:jc w:val="both"/>
              <w:rPr>
                <w:rFonts w:ascii="Arial" w:hAnsi="Arial" w:cs="Arial"/>
              </w:rPr>
            </w:pPr>
            <w:r w:rsidRPr="00A536D2">
              <w:rPr>
                <w:rFonts w:ascii="Arial" w:hAnsi="Arial" w:cs="Arial"/>
              </w:rPr>
              <w:t>Cambios de los roles familiares(crisis)</w:t>
            </w:r>
          </w:p>
        </w:tc>
      </w:tr>
    </w:tbl>
    <w:p w14:paraId="595B6B6C" w14:textId="77777777" w:rsidR="00AB2B4F" w:rsidRPr="00AB2B4F" w:rsidRDefault="00AB2B4F" w:rsidP="00AB2B4F">
      <w:pPr>
        <w:jc w:val="both"/>
        <w:rPr>
          <w:rFonts w:ascii="Arial" w:eastAsia="Times New Roman" w:hAnsi="Arial" w:cs="Arial"/>
          <w:b/>
          <w:bCs/>
          <w:sz w:val="24"/>
          <w:szCs w:val="24"/>
          <w:lang w:eastAsia="es-ES"/>
        </w:rPr>
      </w:pPr>
      <w:r w:rsidRPr="00AB2B4F">
        <w:rPr>
          <w:rFonts w:ascii="Arial" w:eastAsia="Times New Roman" w:hAnsi="Arial" w:cs="Arial"/>
          <w:b/>
          <w:bCs/>
          <w:sz w:val="24"/>
          <w:szCs w:val="24"/>
          <w:lang w:eastAsia="es-ES"/>
        </w:rPr>
        <w:lastRenderedPageBreak/>
        <w:t xml:space="preserve"> </w:t>
      </w:r>
    </w:p>
    <w:p w14:paraId="2334E3CE" w14:textId="77777777" w:rsidR="00AB2B4F" w:rsidRPr="00AB2B4F" w:rsidRDefault="00AB2B4F" w:rsidP="00AB2B4F">
      <w:pPr>
        <w:jc w:val="both"/>
        <w:rPr>
          <w:rFonts w:ascii="Arial" w:eastAsia="Times New Roman" w:hAnsi="Arial" w:cs="Arial"/>
          <w:b/>
          <w:bCs/>
          <w:sz w:val="24"/>
          <w:szCs w:val="24"/>
          <w:lang w:eastAsia="es-ES"/>
        </w:rPr>
      </w:pPr>
      <w:r w:rsidRPr="00AB2B4F">
        <w:rPr>
          <w:rFonts w:ascii="Arial" w:eastAsia="Times New Roman" w:hAnsi="Arial" w:cs="Arial"/>
          <w:b/>
          <w:bCs/>
          <w:sz w:val="24"/>
          <w:szCs w:val="24"/>
          <w:lang w:eastAsia="es-ES"/>
        </w:rPr>
        <w:t>Intervención: Informar en dos o tres sesiones educativas conocimientos básicos sobre la higiene del diabético.</w:t>
      </w:r>
    </w:p>
    <w:p w14:paraId="3F1419F2" w14:textId="77777777" w:rsidR="00AB2B4F" w:rsidRPr="00AB2B4F" w:rsidRDefault="00AB2B4F" w:rsidP="00AB2B4F">
      <w:pPr>
        <w:jc w:val="both"/>
        <w:rPr>
          <w:rFonts w:ascii="Arial" w:eastAsia="Times New Roman" w:hAnsi="Arial" w:cs="Arial"/>
          <w:b/>
          <w:bCs/>
          <w:sz w:val="24"/>
          <w:szCs w:val="24"/>
          <w:lang w:eastAsia="es-ES"/>
        </w:rPr>
      </w:pPr>
      <w:r w:rsidRPr="00AB2B4F">
        <w:rPr>
          <w:rFonts w:ascii="Arial" w:eastAsia="Times New Roman" w:hAnsi="Arial" w:cs="Arial"/>
          <w:b/>
          <w:bCs/>
          <w:sz w:val="24"/>
          <w:szCs w:val="24"/>
          <w:lang w:eastAsia="es-ES"/>
        </w:rPr>
        <w:t xml:space="preserve">Evaluación: En la fecha establecida el individuo puede explicar al personal de enfermería los conocimientos básicos que aprendió sobre la higiene del </w:t>
      </w:r>
      <w:proofErr w:type="spellStart"/>
      <w:r w:rsidRPr="00AB2B4F">
        <w:rPr>
          <w:rFonts w:ascii="Arial" w:eastAsia="Times New Roman" w:hAnsi="Arial" w:cs="Arial"/>
          <w:b/>
          <w:bCs/>
          <w:sz w:val="24"/>
          <w:szCs w:val="24"/>
          <w:lang w:eastAsia="es-ES"/>
        </w:rPr>
        <w:t>dia</w:t>
      </w:r>
      <w:proofErr w:type="spellEnd"/>
      <w:r w:rsidRPr="00AB2B4F">
        <w:rPr>
          <w:rFonts w:ascii="Arial" w:eastAsia="Times New Roman" w:hAnsi="Arial" w:cs="Arial"/>
          <w:b/>
          <w:bCs/>
          <w:sz w:val="24"/>
          <w:szCs w:val="24"/>
          <w:lang w:eastAsia="es-ES"/>
        </w:rPr>
        <w:t xml:space="preserve">- bético ya que de esta forma se realiza una medición objetiva de los </w:t>
      </w:r>
      <w:proofErr w:type="spellStart"/>
      <w:r w:rsidRPr="00AB2B4F">
        <w:rPr>
          <w:rFonts w:ascii="Arial" w:eastAsia="Times New Roman" w:hAnsi="Arial" w:cs="Arial"/>
          <w:b/>
          <w:bCs/>
          <w:sz w:val="24"/>
          <w:szCs w:val="24"/>
          <w:lang w:eastAsia="es-ES"/>
        </w:rPr>
        <w:t>conocimien</w:t>
      </w:r>
      <w:proofErr w:type="spellEnd"/>
      <w:r w:rsidRPr="00AB2B4F">
        <w:rPr>
          <w:rFonts w:ascii="Arial" w:eastAsia="Times New Roman" w:hAnsi="Arial" w:cs="Arial"/>
          <w:b/>
          <w:bCs/>
          <w:sz w:val="24"/>
          <w:szCs w:val="24"/>
          <w:lang w:eastAsia="es-ES"/>
        </w:rPr>
        <w:t>- tos cognitivos y así el personal de enfermería puede evaluar si el individuo ha alcanzado el objetivo.</w:t>
      </w:r>
    </w:p>
    <w:p w14:paraId="01343707" w14:textId="77777777" w:rsidR="00AB2B4F" w:rsidRPr="00AB2B4F" w:rsidRDefault="00AB2B4F" w:rsidP="00AB2B4F">
      <w:pPr>
        <w:jc w:val="both"/>
        <w:rPr>
          <w:rFonts w:ascii="Arial" w:eastAsia="Times New Roman" w:hAnsi="Arial" w:cs="Arial"/>
          <w:b/>
          <w:bCs/>
          <w:sz w:val="24"/>
          <w:szCs w:val="24"/>
          <w:lang w:eastAsia="es-ES"/>
        </w:rPr>
      </w:pPr>
      <w:r w:rsidRPr="00AB2B4F">
        <w:rPr>
          <w:rFonts w:ascii="Arial" w:eastAsia="Times New Roman" w:hAnsi="Arial" w:cs="Arial"/>
          <w:b/>
          <w:bCs/>
          <w:sz w:val="24"/>
          <w:szCs w:val="24"/>
          <w:lang w:eastAsia="es-ES"/>
        </w:rPr>
        <w:t xml:space="preserve">Con la aplicación del proceso de atención de enfermería en la promoción de salud pretendemos motivar al individuo, familia y comunidad para que </w:t>
      </w:r>
      <w:proofErr w:type="spellStart"/>
      <w:r w:rsidRPr="00AB2B4F">
        <w:rPr>
          <w:rFonts w:ascii="Arial" w:eastAsia="Times New Roman" w:hAnsi="Arial" w:cs="Arial"/>
          <w:b/>
          <w:bCs/>
          <w:sz w:val="24"/>
          <w:szCs w:val="24"/>
          <w:lang w:eastAsia="es-ES"/>
        </w:rPr>
        <w:t>pien</w:t>
      </w:r>
      <w:proofErr w:type="spellEnd"/>
      <w:r w:rsidRPr="00AB2B4F">
        <w:rPr>
          <w:rFonts w:ascii="Arial" w:eastAsia="Times New Roman" w:hAnsi="Arial" w:cs="Arial"/>
          <w:b/>
          <w:bCs/>
          <w:sz w:val="24"/>
          <w:szCs w:val="24"/>
          <w:lang w:eastAsia="es-ES"/>
        </w:rPr>
        <w:t xml:space="preserve">- sen en ellos mismos.  Siempre el rol del personal de enfermería es ayudar en todo momento a los individuos, familia y la comunidad a que alcancen los </w:t>
      </w:r>
      <w:proofErr w:type="spellStart"/>
      <w:r w:rsidRPr="00AB2B4F">
        <w:rPr>
          <w:rFonts w:ascii="Arial" w:eastAsia="Times New Roman" w:hAnsi="Arial" w:cs="Arial"/>
          <w:b/>
          <w:bCs/>
          <w:sz w:val="24"/>
          <w:szCs w:val="24"/>
          <w:lang w:eastAsia="es-ES"/>
        </w:rPr>
        <w:t>obje</w:t>
      </w:r>
      <w:proofErr w:type="spellEnd"/>
      <w:r w:rsidRPr="00AB2B4F">
        <w:rPr>
          <w:rFonts w:ascii="Arial" w:eastAsia="Times New Roman" w:hAnsi="Arial" w:cs="Arial"/>
          <w:b/>
          <w:bCs/>
          <w:sz w:val="24"/>
          <w:szCs w:val="24"/>
          <w:lang w:eastAsia="es-ES"/>
        </w:rPr>
        <w:t xml:space="preserve">- </w:t>
      </w:r>
      <w:proofErr w:type="spellStart"/>
      <w:r w:rsidRPr="00AB2B4F">
        <w:rPr>
          <w:rFonts w:ascii="Arial" w:eastAsia="Times New Roman" w:hAnsi="Arial" w:cs="Arial"/>
          <w:b/>
          <w:bCs/>
          <w:sz w:val="24"/>
          <w:szCs w:val="24"/>
          <w:lang w:eastAsia="es-ES"/>
        </w:rPr>
        <w:t>tivos</w:t>
      </w:r>
      <w:proofErr w:type="spellEnd"/>
      <w:r w:rsidRPr="00AB2B4F">
        <w:rPr>
          <w:rFonts w:ascii="Arial" w:eastAsia="Times New Roman" w:hAnsi="Arial" w:cs="Arial"/>
          <w:b/>
          <w:bCs/>
          <w:sz w:val="24"/>
          <w:szCs w:val="24"/>
          <w:lang w:eastAsia="es-ES"/>
        </w:rPr>
        <w:t xml:space="preserve"> propuestos en el plan, siempre actuando de manera integral aportando conocimientos en base a la valoración de la salud, su ejecución y evaluación de los objetivos, resaltando la posibilidad del éxito de los individuos para el logro de los objetivos.</w:t>
      </w:r>
    </w:p>
    <w:p w14:paraId="4B2FC06A" w14:textId="77777777" w:rsidR="00AB2B4F" w:rsidRPr="00AB2B4F" w:rsidRDefault="00AB2B4F" w:rsidP="00AB2B4F">
      <w:pPr>
        <w:jc w:val="both"/>
        <w:rPr>
          <w:rFonts w:ascii="Arial" w:eastAsia="Times New Roman" w:hAnsi="Arial" w:cs="Arial"/>
          <w:b/>
          <w:bCs/>
          <w:sz w:val="24"/>
          <w:szCs w:val="24"/>
          <w:lang w:eastAsia="es-ES"/>
        </w:rPr>
      </w:pPr>
    </w:p>
    <w:p w14:paraId="01F5772F" w14:textId="65DFD4A7" w:rsidR="00AB2B4F" w:rsidRDefault="00AB2B4F" w:rsidP="00AB2B4F">
      <w:pPr>
        <w:jc w:val="both"/>
        <w:rPr>
          <w:rFonts w:ascii="Arial" w:eastAsia="Times New Roman" w:hAnsi="Arial" w:cs="Arial"/>
          <w:b/>
          <w:bCs/>
          <w:sz w:val="24"/>
          <w:szCs w:val="24"/>
          <w:lang w:eastAsia="es-ES"/>
        </w:rPr>
      </w:pPr>
      <w:r w:rsidRPr="000930F5">
        <w:rPr>
          <w:rFonts w:ascii="Arial" w:eastAsia="Times New Roman" w:hAnsi="Arial" w:cs="Arial"/>
          <w:b/>
          <w:bCs/>
          <w:sz w:val="24"/>
          <w:szCs w:val="24"/>
          <w:u w:val="single"/>
          <w:lang w:eastAsia="es-ES"/>
        </w:rPr>
        <w:t>Conclusiones</w:t>
      </w:r>
      <w:r w:rsidRPr="00AB2B4F">
        <w:rPr>
          <w:rFonts w:ascii="Arial" w:eastAsia="Times New Roman" w:hAnsi="Arial" w:cs="Arial"/>
          <w:b/>
          <w:bCs/>
          <w:sz w:val="24"/>
          <w:szCs w:val="24"/>
          <w:lang w:eastAsia="es-ES"/>
        </w:rPr>
        <w:t>:</w:t>
      </w:r>
    </w:p>
    <w:p w14:paraId="5C72BC44" w14:textId="290AF7C1" w:rsidR="000930F5" w:rsidRPr="000930F5" w:rsidRDefault="00AB2B4F" w:rsidP="000930F5">
      <w:pPr>
        <w:jc w:val="both"/>
        <w:rPr>
          <w:rFonts w:ascii="Arial" w:eastAsia="Times New Roman" w:hAnsi="Arial" w:cs="Arial"/>
          <w:b/>
          <w:bCs/>
          <w:sz w:val="24"/>
          <w:szCs w:val="24"/>
          <w:lang w:eastAsia="es-ES"/>
        </w:rPr>
      </w:pPr>
      <w:r w:rsidRPr="00AB2B4F">
        <w:rPr>
          <w:rFonts w:ascii="Arial" w:eastAsia="Times New Roman" w:hAnsi="Arial" w:cs="Arial"/>
          <w:b/>
          <w:bCs/>
          <w:sz w:val="24"/>
          <w:szCs w:val="24"/>
          <w:lang w:eastAsia="es-ES"/>
        </w:rPr>
        <w:t xml:space="preserve">1- </w:t>
      </w:r>
      <w:r w:rsidR="000930F5">
        <w:rPr>
          <w:rFonts w:ascii="Arial" w:eastAsia="Times New Roman" w:hAnsi="Arial" w:cs="Arial"/>
          <w:b/>
          <w:bCs/>
          <w:sz w:val="24"/>
          <w:szCs w:val="24"/>
          <w:lang w:eastAsia="es-ES"/>
        </w:rPr>
        <w:t>L</w:t>
      </w:r>
      <w:r w:rsidRPr="00AB2B4F">
        <w:rPr>
          <w:rFonts w:ascii="Arial" w:eastAsia="Times New Roman" w:hAnsi="Arial" w:cs="Arial"/>
          <w:b/>
          <w:bCs/>
          <w:sz w:val="24"/>
          <w:szCs w:val="24"/>
          <w:lang w:eastAsia="es-ES"/>
        </w:rPr>
        <w:t>os diagnósticos de enfermería más utilizados en la APS</w:t>
      </w:r>
      <w:r w:rsidR="000930F5">
        <w:rPr>
          <w:rFonts w:ascii="Arial" w:eastAsia="Times New Roman" w:hAnsi="Arial" w:cs="Arial"/>
          <w:b/>
          <w:bCs/>
          <w:sz w:val="24"/>
          <w:szCs w:val="24"/>
          <w:lang w:eastAsia="es-ES"/>
        </w:rPr>
        <w:t xml:space="preserve"> </w:t>
      </w:r>
      <w:r w:rsidR="00FD744A">
        <w:rPr>
          <w:rFonts w:ascii="Arial" w:eastAsia="Times New Roman" w:hAnsi="Arial" w:cs="Arial"/>
          <w:b/>
          <w:bCs/>
          <w:sz w:val="24"/>
          <w:szCs w:val="24"/>
          <w:lang w:eastAsia="es-ES"/>
        </w:rPr>
        <w:t>son</w:t>
      </w:r>
      <w:r w:rsidR="000930F5">
        <w:rPr>
          <w:rFonts w:ascii="Arial" w:eastAsia="Times New Roman" w:hAnsi="Arial" w:cs="Arial"/>
          <w:b/>
          <w:bCs/>
          <w:sz w:val="24"/>
          <w:szCs w:val="24"/>
          <w:lang w:eastAsia="es-ES"/>
        </w:rPr>
        <w:t>:</w:t>
      </w:r>
      <w:r w:rsidR="000930F5" w:rsidRPr="000930F5">
        <w:t xml:space="preserve"> </w:t>
      </w:r>
      <w:r w:rsidR="000930F5" w:rsidRPr="000930F5">
        <w:rPr>
          <w:rFonts w:ascii="Arial" w:eastAsia="Times New Roman" w:hAnsi="Arial" w:cs="Arial"/>
          <w:b/>
          <w:bCs/>
          <w:sz w:val="24"/>
          <w:szCs w:val="24"/>
          <w:lang w:eastAsia="es-ES"/>
        </w:rPr>
        <w:t>Conocimientos deficientes</w:t>
      </w:r>
      <w:r w:rsidR="000930F5">
        <w:rPr>
          <w:rFonts w:ascii="Arial" w:eastAsia="Times New Roman" w:hAnsi="Arial" w:cs="Arial"/>
          <w:b/>
          <w:bCs/>
          <w:sz w:val="24"/>
          <w:szCs w:val="24"/>
          <w:lang w:eastAsia="es-ES"/>
        </w:rPr>
        <w:t xml:space="preserve">, </w:t>
      </w:r>
      <w:r w:rsidR="000930F5" w:rsidRPr="000930F5">
        <w:rPr>
          <w:rFonts w:ascii="Arial" w:eastAsia="Times New Roman" w:hAnsi="Arial" w:cs="Arial"/>
          <w:b/>
          <w:bCs/>
          <w:sz w:val="24"/>
          <w:szCs w:val="24"/>
          <w:lang w:eastAsia="es-ES"/>
        </w:rPr>
        <w:t xml:space="preserve">Deterioro en   el mantenimiento del hogar </w:t>
      </w:r>
    </w:p>
    <w:p w14:paraId="411AFD38" w14:textId="1E2FE440" w:rsidR="00AB2B4F" w:rsidRPr="00AB2B4F" w:rsidRDefault="000930F5" w:rsidP="00AB2B4F">
      <w:pPr>
        <w:jc w:val="both"/>
        <w:rPr>
          <w:rFonts w:ascii="Arial" w:eastAsia="Times New Roman" w:hAnsi="Arial" w:cs="Arial"/>
          <w:b/>
          <w:bCs/>
          <w:sz w:val="24"/>
          <w:szCs w:val="24"/>
          <w:lang w:eastAsia="es-ES"/>
        </w:rPr>
      </w:pPr>
      <w:r w:rsidRPr="000930F5">
        <w:rPr>
          <w:rFonts w:ascii="Arial" w:eastAsia="Times New Roman" w:hAnsi="Arial" w:cs="Arial"/>
          <w:b/>
          <w:bCs/>
          <w:sz w:val="24"/>
          <w:szCs w:val="24"/>
          <w:lang w:eastAsia="es-ES"/>
        </w:rPr>
        <w:t>Protección ineficaz</w:t>
      </w:r>
      <w:r>
        <w:rPr>
          <w:rFonts w:ascii="Arial" w:eastAsia="Times New Roman" w:hAnsi="Arial" w:cs="Arial"/>
          <w:b/>
          <w:bCs/>
          <w:sz w:val="24"/>
          <w:szCs w:val="24"/>
          <w:lang w:eastAsia="es-ES"/>
        </w:rPr>
        <w:t xml:space="preserve">, </w:t>
      </w:r>
      <w:r w:rsidRPr="000930F5">
        <w:rPr>
          <w:rFonts w:ascii="Arial" w:eastAsia="Times New Roman" w:hAnsi="Arial" w:cs="Arial"/>
          <w:b/>
          <w:bCs/>
          <w:sz w:val="24"/>
          <w:szCs w:val="24"/>
          <w:lang w:eastAsia="es-ES"/>
        </w:rPr>
        <w:t>Riesgo caídas</w:t>
      </w:r>
      <w:r>
        <w:rPr>
          <w:rFonts w:ascii="Arial" w:eastAsia="Times New Roman" w:hAnsi="Arial" w:cs="Arial"/>
          <w:b/>
          <w:bCs/>
          <w:sz w:val="24"/>
          <w:szCs w:val="24"/>
          <w:lang w:eastAsia="es-ES"/>
        </w:rPr>
        <w:t xml:space="preserve">, </w:t>
      </w:r>
      <w:r w:rsidRPr="000930F5">
        <w:rPr>
          <w:rFonts w:ascii="Arial" w:eastAsia="Times New Roman" w:hAnsi="Arial" w:cs="Arial"/>
          <w:b/>
          <w:bCs/>
          <w:sz w:val="24"/>
          <w:szCs w:val="24"/>
          <w:lang w:eastAsia="es-ES"/>
        </w:rPr>
        <w:t>Deterioro en   el mantenimiento del hogar</w:t>
      </w:r>
      <w:r>
        <w:rPr>
          <w:rFonts w:ascii="Arial" w:eastAsia="Times New Roman" w:hAnsi="Arial" w:cs="Arial"/>
          <w:b/>
          <w:bCs/>
          <w:sz w:val="24"/>
          <w:szCs w:val="24"/>
          <w:lang w:eastAsia="es-ES"/>
        </w:rPr>
        <w:t xml:space="preserve">, </w:t>
      </w:r>
      <w:r w:rsidRPr="000930F5">
        <w:rPr>
          <w:rFonts w:ascii="Arial" w:eastAsia="Times New Roman" w:hAnsi="Arial" w:cs="Arial"/>
          <w:b/>
          <w:bCs/>
          <w:sz w:val="24"/>
          <w:szCs w:val="24"/>
          <w:lang w:eastAsia="es-ES"/>
        </w:rPr>
        <w:t>contaminación</w:t>
      </w:r>
    </w:p>
    <w:p w14:paraId="74E10C05" w14:textId="1DE80675" w:rsidR="000930F5" w:rsidRPr="000930F5" w:rsidRDefault="000930F5" w:rsidP="00AB2B4F">
      <w:pPr>
        <w:jc w:val="both"/>
        <w:rPr>
          <w:rFonts w:ascii="Arial" w:eastAsia="Times New Roman" w:hAnsi="Arial" w:cs="Arial"/>
          <w:sz w:val="24"/>
          <w:szCs w:val="24"/>
          <w:lang w:eastAsia="es-ES"/>
        </w:rPr>
      </w:pPr>
      <w:r w:rsidRPr="000930F5">
        <w:rPr>
          <w:rFonts w:ascii="Arial" w:eastAsia="Times New Roman" w:hAnsi="Arial" w:cs="Arial"/>
          <w:b/>
          <w:bCs/>
          <w:sz w:val="24"/>
          <w:szCs w:val="24"/>
          <w:u w:val="single"/>
          <w:lang w:eastAsia="es-ES"/>
        </w:rPr>
        <w:t>E</w:t>
      </w:r>
      <w:r w:rsidR="00AB2B4F" w:rsidRPr="000930F5">
        <w:rPr>
          <w:rFonts w:ascii="Arial" w:eastAsia="Times New Roman" w:hAnsi="Arial" w:cs="Arial"/>
          <w:b/>
          <w:bCs/>
          <w:sz w:val="24"/>
          <w:szCs w:val="24"/>
          <w:u w:val="single"/>
          <w:lang w:eastAsia="es-ES"/>
        </w:rPr>
        <w:t>studio independiente</w:t>
      </w:r>
      <w:r>
        <w:rPr>
          <w:rFonts w:ascii="Arial" w:eastAsia="Times New Roman" w:hAnsi="Arial" w:cs="Arial"/>
          <w:b/>
          <w:bCs/>
          <w:sz w:val="24"/>
          <w:szCs w:val="24"/>
          <w:u w:val="single"/>
          <w:lang w:eastAsia="es-ES"/>
        </w:rPr>
        <w:t>:</w:t>
      </w:r>
      <w:r w:rsidRPr="000930F5">
        <w:t xml:space="preserve"> </w:t>
      </w:r>
      <w:r w:rsidRPr="000930F5">
        <w:rPr>
          <w:rFonts w:ascii="Arial" w:eastAsia="Times New Roman" w:hAnsi="Arial" w:cs="Arial"/>
          <w:sz w:val="24"/>
          <w:szCs w:val="24"/>
          <w:lang w:eastAsia="es-ES"/>
        </w:rPr>
        <w:t>Tomando en consideración los</w:t>
      </w:r>
      <w:r>
        <w:rPr>
          <w:rFonts w:ascii="Arial" w:eastAsia="Times New Roman" w:hAnsi="Arial" w:cs="Arial"/>
          <w:sz w:val="24"/>
          <w:szCs w:val="24"/>
          <w:lang w:eastAsia="es-ES"/>
        </w:rPr>
        <w:t xml:space="preserve"> </w:t>
      </w:r>
      <w:r w:rsidRPr="000930F5">
        <w:rPr>
          <w:rFonts w:ascii="Arial" w:eastAsia="Times New Roman" w:hAnsi="Arial" w:cs="Arial"/>
          <w:sz w:val="24"/>
          <w:szCs w:val="24"/>
          <w:lang w:eastAsia="es-ES"/>
        </w:rPr>
        <w:t>datos negativos y las necesidades afectadas identifique los dominios y diagnósticos correspondientes.</w:t>
      </w:r>
    </w:p>
    <w:tbl>
      <w:tblPr>
        <w:tblStyle w:val="TableGrid1"/>
        <w:tblW w:w="12616" w:type="dxa"/>
        <w:tblInd w:w="-5" w:type="dxa"/>
        <w:tblLook w:val="04A0" w:firstRow="1" w:lastRow="0" w:firstColumn="1" w:lastColumn="0" w:noHBand="0" w:noVBand="1"/>
      </w:tblPr>
      <w:tblGrid>
        <w:gridCol w:w="523"/>
        <w:gridCol w:w="8266"/>
        <w:gridCol w:w="3827"/>
      </w:tblGrid>
      <w:tr w:rsidR="000930F5" w:rsidRPr="00DB3489" w14:paraId="2176299A" w14:textId="77777777" w:rsidTr="000930F5">
        <w:trPr>
          <w:trHeight w:val="369"/>
        </w:trPr>
        <w:tc>
          <w:tcPr>
            <w:tcW w:w="523" w:type="dxa"/>
          </w:tcPr>
          <w:p w14:paraId="424A54E8"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No</w:t>
            </w:r>
          </w:p>
        </w:tc>
        <w:tc>
          <w:tcPr>
            <w:tcW w:w="8266" w:type="dxa"/>
          </w:tcPr>
          <w:p w14:paraId="38A83228"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Datos negativos</w:t>
            </w:r>
          </w:p>
        </w:tc>
        <w:tc>
          <w:tcPr>
            <w:tcW w:w="3827" w:type="dxa"/>
            <w:tcBorders>
              <w:right w:val="single" w:sz="4" w:space="0" w:color="auto"/>
            </w:tcBorders>
          </w:tcPr>
          <w:p w14:paraId="2798F542"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Necesidad afectada</w:t>
            </w:r>
          </w:p>
        </w:tc>
      </w:tr>
      <w:tr w:rsidR="000930F5" w:rsidRPr="00DB3489" w14:paraId="68017AA7" w14:textId="77777777" w:rsidTr="000930F5">
        <w:trPr>
          <w:trHeight w:val="391"/>
        </w:trPr>
        <w:tc>
          <w:tcPr>
            <w:tcW w:w="523" w:type="dxa"/>
          </w:tcPr>
          <w:p w14:paraId="4D26ABF9"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1-</w:t>
            </w:r>
          </w:p>
        </w:tc>
        <w:tc>
          <w:tcPr>
            <w:tcW w:w="8266" w:type="dxa"/>
          </w:tcPr>
          <w:p w14:paraId="5FA03DAE" w14:textId="77777777" w:rsidR="000930F5" w:rsidRPr="00D75321" w:rsidRDefault="000930F5" w:rsidP="00C859C8">
            <w:pPr>
              <w:rPr>
                <w:rFonts w:ascii="Arial" w:hAnsi="Arial" w:cs="Arial"/>
                <w:sz w:val="24"/>
                <w:szCs w:val="24"/>
              </w:rPr>
            </w:pPr>
            <w:r w:rsidRPr="00D75321">
              <w:rPr>
                <w:rFonts w:ascii="Arial" w:hAnsi="Arial" w:cs="Arial"/>
                <w:i/>
                <w:sz w:val="24"/>
                <w:szCs w:val="24"/>
              </w:rPr>
              <w:t>Baja percepción de riesgo (pocos conocimientos)</w:t>
            </w:r>
          </w:p>
        </w:tc>
        <w:tc>
          <w:tcPr>
            <w:tcW w:w="3827" w:type="dxa"/>
            <w:tcBorders>
              <w:right w:val="single" w:sz="4" w:space="0" w:color="auto"/>
            </w:tcBorders>
          </w:tcPr>
          <w:p w14:paraId="216B2E54"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Seguridad</w:t>
            </w:r>
          </w:p>
        </w:tc>
      </w:tr>
      <w:tr w:rsidR="000930F5" w:rsidRPr="00DB3489" w14:paraId="3EDDDA8F" w14:textId="77777777" w:rsidTr="000930F5">
        <w:trPr>
          <w:trHeight w:val="391"/>
        </w:trPr>
        <w:tc>
          <w:tcPr>
            <w:tcW w:w="523" w:type="dxa"/>
          </w:tcPr>
          <w:p w14:paraId="1BCB538E"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2-</w:t>
            </w:r>
          </w:p>
        </w:tc>
        <w:tc>
          <w:tcPr>
            <w:tcW w:w="8266" w:type="dxa"/>
          </w:tcPr>
          <w:p w14:paraId="62511DDD" w14:textId="77777777" w:rsidR="000930F5" w:rsidRPr="00D75321" w:rsidRDefault="000930F5" w:rsidP="00C859C8">
            <w:pPr>
              <w:rPr>
                <w:rFonts w:ascii="Arial" w:hAnsi="Arial" w:cs="Arial"/>
                <w:sz w:val="24"/>
                <w:szCs w:val="24"/>
              </w:rPr>
            </w:pPr>
            <w:r w:rsidRPr="00D75321">
              <w:rPr>
                <w:rFonts w:ascii="Arial" w:hAnsi="Arial" w:cs="Arial"/>
                <w:i/>
                <w:sz w:val="24"/>
                <w:szCs w:val="24"/>
              </w:rPr>
              <w:t>Malas condiciones económicas</w:t>
            </w:r>
          </w:p>
        </w:tc>
        <w:tc>
          <w:tcPr>
            <w:tcW w:w="3827" w:type="dxa"/>
            <w:tcBorders>
              <w:right w:val="single" w:sz="4" w:space="0" w:color="auto"/>
            </w:tcBorders>
          </w:tcPr>
          <w:p w14:paraId="5CF398BA"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Inocuidad</w:t>
            </w:r>
            <w:r w:rsidRPr="00D75321">
              <w:rPr>
                <w:rFonts w:ascii="Arial" w:hAnsi="Arial" w:cs="Arial"/>
                <w:color w:val="000000"/>
                <w:sz w:val="24"/>
                <w:szCs w:val="24"/>
                <w:lang w:val="es-ES_tradnl"/>
              </w:rPr>
              <w:t xml:space="preserve">     </w:t>
            </w:r>
          </w:p>
        </w:tc>
      </w:tr>
      <w:tr w:rsidR="000930F5" w:rsidRPr="00DB3489" w14:paraId="2B0C6BCF" w14:textId="77777777" w:rsidTr="000930F5">
        <w:trPr>
          <w:trHeight w:val="391"/>
        </w:trPr>
        <w:tc>
          <w:tcPr>
            <w:tcW w:w="523" w:type="dxa"/>
          </w:tcPr>
          <w:p w14:paraId="60167118"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3--</w:t>
            </w:r>
          </w:p>
        </w:tc>
        <w:tc>
          <w:tcPr>
            <w:tcW w:w="8266" w:type="dxa"/>
          </w:tcPr>
          <w:p w14:paraId="57FD9B0E" w14:textId="77777777" w:rsidR="000930F5" w:rsidRPr="00D75321" w:rsidRDefault="000930F5" w:rsidP="00C859C8">
            <w:pPr>
              <w:rPr>
                <w:rFonts w:ascii="Arial" w:hAnsi="Arial" w:cs="Arial"/>
                <w:sz w:val="24"/>
                <w:szCs w:val="24"/>
              </w:rPr>
            </w:pPr>
            <w:r w:rsidRPr="00D75321">
              <w:rPr>
                <w:rFonts w:ascii="Arial" w:hAnsi="Arial" w:cs="Arial"/>
                <w:sz w:val="24"/>
                <w:szCs w:val="24"/>
              </w:rPr>
              <w:t xml:space="preserve">Adulto mayor </w:t>
            </w:r>
          </w:p>
        </w:tc>
        <w:tc>
          <w:tcPr>
            <w:tcW w:w="3827" w:type="dxa"/>
            <w:tcBorders>
              <w:right w:val="single" w:sz="4" w:space="0" w:color="auto"/>
            </w:tcBorders>
          </w:tcPr>
          <w:p w14:paraId="37325329"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Seguridad</w:t>
            </w:r>
          </w:p>
        </w:tc>
      </w:tr>
      <w:tr w:rsidR="000930F5" w:rsidRPr="00DB3489" w14:paraId="3EFD1529" w14:textId="77777777" w:rsidTr="000930F5">
        <w:trPr>
          <w:trHeight w:val="391"/>
        </w:trPr>
        <w:tc>
          <w:tcPr>
            <w:tcW w:w="523" w:type="dxa"/>
          </w:tcPr>
          <w:p w14:paraId="1690BBDE"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4-</w:t>
            </w:r>
          </w:p>
        </w:tc>
        <w:tc>
          <w:tcPr>
            <w:tcW w:w="8266" w:type="dxa"/>
          </w:tcPr>
          <w:p w14:paraId="4983FB0E" w14:textId="77777777" w:rsidR="000930F5" w:rsidRPr="00D75321" w:rsidRDefault="000930F5" w:rsidP="00C859C8">
            <w:pPr>
              <w:rPr>
                <w:rFonts w:ascii="Arial" w:hAnsi="Arial" w:cs="Arial"/>
                <w:sz w:val="24"/>
                <w:szCs w:val="24"/>
              </w:rPr>
            </w:pPr>
            <w:r w:rsidRPr="00D75321">
              <w:rPr>
                <w:rFonts w:ascii="Arial" w:hAnsi="Arial" w:cs="Arial"/>
                <w:sz w:val="24"/>
                <w:szCs w:val="24"/>
              </w:rPr>
              <w:t>Baño mojado</w:t>
            </w:r>
          </w:p>
        </w:tc>
        <w:tc>
          <w:tcPr>
            <w:tcW w:w="3827" w:type="dxa"/>
            <w:tcBorders>
              <w:right w:val="single" w:sz="4" w:space="0" w:color="auto"/>
            </w:tcBorders>
          </w:tcPr>
          <w:p w14:paraId="674325E5"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Seguridad</w:t>
            </w:r>
          </w:p>
        </w:tc>
      </w:tr>
      <w:tr w:rsidR="000930F5" w:rsidRPr="00DB3489" w14:paraId="7FA8E5EB" w14:textId="77777777" w:rsidTr="000930F5">
        <w:trPr>
          <w:trHeight w:val="391"/>
        </w:trPr>
        <w:tc>
          <w:tcPr>
            <w:tcW w:w="523" w:type="dxa"/>
          </w:tcPr>
          <w:p w14:paraId="0E21A7FB"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5-</w:t>
            </w:r>
          </w:p>
        </w:tc>
        <w:tc>
          <w:tcPr>
            <w:tcW w:w="8266" w:type="dxa"/>
          </w:tcPr>
          <w:p w14:paraId="3C35F2BE" w14:textId="77777777" w:rsidR="000930F5" w:rsidRPr="00D75321" w:rsidRDefault="000930F5" w:rsidP="00C859C8">
            <w:pPr>
              <w:rPr>
                <w:rFonts w:ascii="Arial" w:hAnsi="Arial" w:cs="Arial"/>
                <w:sz w:val="24"/>
                <w:szCs w:val="24"/>
              </w:rPr>
            </w:pPr>
            <w:r w:rsidRPr="00D75321">
              <w:rPr>
                <w:rFonts w:ascii="Arial" w:hAnsi="Arial" w:cs="Arial"/>
                <w:i/>
                <w:sz w:val="24"/>
                <w:szCs w:val="24"/>
              </w:rPr>
              <w:t>Malas condiciones del piso</w:t>
            </w:r>
          </w:p>
        </w:tc>
        <w:tc>
          <w:tcPr>
            <w:tcW w:w="3827" w:type="dxa"/>
            <w:tcBorders>
              <w:right w:val="single" w:sz="4" w:space="0" w:color="auto"/>
            </w:tcBorders>
          </w:tcPr>
          <w:p w14:paraId="7CAE4374"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Inocuidad, Seguridad</w:t>
            </w:r>
          </w:p>
        </w:tc>
      </w:tr>
      <w:tr w:rsidR="000930F5" w:rsidRPr="00DB3489" w14:paraId="06B58474" w14:textId="77777777" w:rsidTr="000930F5">
        <w:trPr>
          <w:trHeight w:val="391"/>
        </w:trPr>
        <w:tc>
          <w:tcPr>
            <w:tcW w:w="523" w:type="dxa"/>
          </w:tcPr>
          <w:p w14:paraId="0D896581"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6-</w:t>
            </w:r>
          </w:p>
        </w:tc>
        <w:tc>
          <w:tcPr>
            <w:tcW w:w="8266" w:type="dxa"/>
          </w:tcPr>
          <w:p w14:paraId="6B07C686" w14:textId="77777777" w:rsidR="000930F5" w:rsidRPr="00D75321" w:rsidRDefault="000930F5" w:rsidP="00C859C8">
            <w:pPr>
              <w:tabs>
                <w:tab w:val="left" w:pos="4649"/>
              </w:tabs>
              <w:rPr>
                <w:rFonts w:ascii="Arial" w:hAnsi="Arial" w:cs="Arial"/>
                <w:sz w:val="24"/>
                <w:szCs w:val="24"/>
              </w:rPr>
            </w:pPr>
            <w:r w:rsidRPr="00D75321">
              <w:rPr>
                <w:rFonts w:ascii="Arial" w:hAnsi="Arial" w:cs="Arial"/>
                <w:sz w:val="24"/>
                <w:szCs w:val="24"/>
              </w:rPr>
              <w:t>No usan mosquitero, existen recipientes donde almacenan agua sin tapa</w:t>
            </w:r>
          </w:p>
          <w:p w14:paraId="2457F985" w14:textId="77777777" w:rsidR="000930F5" w:rsidRPr="00D75321" w:rsidRDefault="000930F5" w:rsidP="00C859C8">
            <w:pPr>
              <w:rPr>
                <w:rFonts w:ascii="Arial" w:hAnsi="Arial" w:cs="Arial"/>
                <w:sz w:val="24"/>
                <w:szCs w:val="24"/>
              </w:rPr>
            </w:pPr>
          </w:p>
        </w:tc>
        <w:tc>
          <w:tcPr>
            <w:tcW w:w="3827" w:type="dxa"/>
            <w:tcBorders>
              <w:right w:val="single" w:sz="4" w:space="0" w:color="auto"/>
            </w:tcBorders>
          </w:tcPr>
          <w:p w14:paraId="5E0C1A16"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Seguridad</w:t>
            </w:r>
          </w:p>
        </w:tc>
      </w:tr>
      <w:tr w:rsidR="000930F5" w:rsidRPr="00DB3489" w14:paraId="7BB73179" w14:textId="77777777" w:rsidTr="000930F5">
        <w:trPr>
          <w:trHeight w:val="391"/>
        </w:trPr>
        <w:tc>
          <w:tcPr>
            <w:tcW w:w="523" w:type="dxa"/>
          </w:tcPr>
          <w:p w14:paraId="7CA70E7C"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7-</w:t>
            </w:r>
          </w:p>
        </w:tc>
        <w:tc>
          <w:tcPr>
            <w:tcW w:w="8266" w:type="dxa"/>
          </w:tcPr>
          <w:p w14:paraId="2FE39BAA" w14:textId="77777777" w:rsidR="000930F5" w:rsidRPr="00D75321" w:rsidRDefault="000930F5" w:rsidP="00C859C8">
            <w:pPr>
              <w:tabs>
                <w:tab w:val="left" w:pos="4649"/>
              </w:tabs>
              <w:rPr>
                <w:rFonts w:ascii="Arial" w:hAnsi="Arial" w:cs="Arial"/>
                <w:sz w:val="24"/>
                <w:szCs w:val="24"/>
              </w:rPr>
            </w:pPr>
            <w:r w:rsidRPr="00D75321">
              <w:rPr>
                <w:rFonts w:ascii="Arial" w:hAnsi="Arial" w:cs="Arial"/>
                <w:sz w:val="24"/>
                <w:szCs w:val="24"/>
              </w:rPr>
              <w:t>Exposición de humo procedente de la quema de desechos sólidos.</w:t>
            </w:r>
          </w:p>
          <w:p w14:paraId="49D7A2E5" w14:textId="77777777" w:rsidR="000930F5" w:rsidRPr="00D75321" w:rsidRDefault="000930F5" w:rsidP="00C859C8">
            <w:pPr>
              <w:rPr>
                <w:rFonts w:ascii="Arial" w:hAnsi="Arial" w:cs="Arial"/>
                <w:sz w:val="24"/>
                <w:szCs w:val="24"/>
              </w:rPr>
            </w:pPr>
          </w:p>
        </w:tc>
        <w:tc>
          <w:tcPr>
            <w:tcW w:w="3827" w:type="dxa"/>
            <w:tcBorders>
              <w:right w:val="single" w:sz="4" w:space="0" w:color="auto"/>
            </w:tcBorders>
          </w:tcPr>
          <w:p w14:paraId="709118BC" w14:textId="77777777" w:rsidR="000930F5" w:rsidRPr="00D75321" w:rsidRDefault="000930F5" w:rsidP="00C859C8">
            <w:pPr>
              <w:tabs>
                <w:tab w:val="left" w:pos="1275"/>
              </w:tabs>
              <w:rPr>
                <w:rFonts w:ascii="Arial" w:hAnsi="Arial" w:cs="Arial"/>
                <w:sz w:val="24"/>
                <w:szCs w:val="24"/>
              </w:rPr>
            </w:pPr>
            <w:r w:rsidRPr="00D75321">
              <w:rPr>
                <w:rFonts w:ascii="Arial" w:hAnsi="Arial" w:cs="Arial"/>
                <w:sz w:val="24"/>
                <w:szCs w:val="24"/>
              </w:rPr>
              <w:t>Seguridad</w:t>
            </w:r>
          </w:p>
        </w:tc>
      </w:tr>
    </w:tbl>
    <w:p w14:paraId="561554D7" w14:textId="0B64A96E" w:rsidR="000930F5" w:rsidRDefault="000930F5" w:rsidP="00AB2B4F">
      <w:pPr>
        <w:jc w:val="both"/>
        <w:rPr>
          <w:rFonts w:ascii="Arial" w:eastAsia="Times New Roman" w:hAnsi="Arial" w:cs="Arial"/>
          <w:b/>
          <w:bCs/>
          <w:sz w:val="24"/>
          <w:szCs w:val="24"/>
          <w:u w:val="single"/>
          <w:lang w:eastAsia="es-ES"/>
        </w:rPr>
      </w:pPr>
    </w:p>
    <w:p w14:paraId="2FC494F6" w14:textId="23937D75" w:rsidR="000930F5" w:rsidRDefault="000930F5" w:rsidP="00AB2B4F">
      <w:pPr>
        <w:jc w:val="both"/>
        <w:rPr>
          <w:rFonts w:ascii="Arial" w:eastAsia="Times New Roman" w:hAnsi="Arial" w:cs="Arial"/>
          <w:b/>
          <w:bCs/>
          <w:sz w:val="24"/>
          <w:szCs w:val="24"/>
          <w:u w:val="single"/>
          <w:lang w:eastAsia="es-ES"/>
        </w:rPr>
      </w:pPr>
    </w:p>
    <w:p w14:paraId="6C40AE0B" w14:textId="0861D336" w:rsidR="000930F5" w:rsidRDefault="000930F5" w:rsidP="00AB2B4F">
      <w:pPr>
        <w:jc w:val="both"/>
        <w:rPr>
          <w:rFonts w:ascii="Arial" w:eastAsia="Times New Roman" w:hAnsi="Arial" w:cs="Arial"/>
          <w:b/>
          <w:bCs/>
          <w:sz w:val="24"/>
          <w:szCs w:val="24"/>
          <w:u w:val="single"/>
          <w:lang w:eastAsia="es-ES"/>
        </w:rPr>
      </w:pPr>
    </w:p>
    <w:p w14:paraId="2BF071CB" w14:textId="77777777" w:rsidR="000930F5" w:rsidRPr="00AB2B4F" w:rsidRDefault="000930F5" w:rsidP="00AB2B4F">
      <w:pPr>
        <w:jc w:val="both"/>
        <w:rPr>
          <w:rFonts w:ascii="Arial" w:eastAsia="Times New Roman" w:hAnsi="Arial" w:cs="Arial"/>
          <w:b/>
          <w:bCs/>
          <w:sz w:val="24"/>
          <w:szCs w:val="24"/>
          <w:lang w:eastAsia="es-ES"/>
        </w:rPr>
      </w:pPr>
    </w:p>
    <w:p w14:paraId="098C03F5" w14:textId="6C3EF349" w:rsidR="000930F5" w:rsidRDefault="00AB2B4F" w:rsidP="00AB2B4F">
      <w:pPr>
        <w:jc w:val="both"/>
        <w:rPr>
          <w:rFonts w:ascii="Arial" w:eastAsia="Times New Roman" w:hAnsi="Arial" w:cs="Arial"/>
          <w:b/>
          <w:bCs/>
          <w:sz w:val="24"/>
          <w:szCs w:val="24"/>
          <w:lang w:eastAsia="es-ES"/>
        </w:rPr>
      </w:pPr>
      <w:proofErr w:type="spellStart"/>
      <w:r w:rsidRPr="00AB2B4F">
        <w:rPr>
          <w:rFonts w:ascii="Arial" w:eastAsia="Times New Roman" w:hAnsi="Arial" w:cs="Arial"/>
          <w:b/>
          <w:bCs/>
          <w:sz w:val="24"/>
          <w:szCs w:val="24"/>
          <w:lang w:eastAsia="es-ES"/>
        </w:rPr>
        <w:t>Bibliografia</w:t>
      </w:r>
      <w:proofErr w:type="spellEnd"/>
      <w:r w:rsidRPr="00AB2B4F">
        <w:rPr>
          <w:rFonts w:ascii="Arial" w:eastAsia="Times New Roman" w:hAnsi="Arial" w:cs="Arial"/>
          <w:b/>
          <w:bCs/>
          <w:sz w:val="24"/>
          <w:szCs w:val="24"/>
          <w:lang w:eastAsia="es-ES"/>
        </w:rPr>
        <w:t xml:space="preserve">: Colectivo de autores. Enfermería familiar y social. Editorial Ciencias Médicas, 2004. </w:t>
      </w:r>
      <w:proofErr w:type="spellStart"/>
      <w:r w:rsidRPr="00AB2B4F">
        <w:rPr>
          <w:rFonts w:ascii="Arial" w:eastAsia="Times New Roman" w:hAnsi="Arial" w:cs="Arial"/>
          <w:b/>
          <w:bCs/>
          <w:sz w:val="24"/>
          <w:szCs w:val="24"/>
          <w:lang w:eastAsia="es-ES"/>
        </w:rPr>
        <w:t>pág</w:t>
      </w:r>
      <w:proofErr w:type="spellEnd"/>
      <w:r w:rsidRPr="00AB2B4F">
        <w:rPr>
          <w:rFonts w:ascii="Arial" w:eastAsia="Times New Roman" w:hAnsi="Arial" w:cs="Arial"/>
          <w:b/>
          <w:bCs/>
          <w:sz w:val="24"/>
          <w:szCs w:val="24"/>
          <w:lang w:eastAsia="es-ES"/>
        </w:rPr>
        <w:t xml:space="preserve"> 263-290 Y 203-262</w:t>
      </w:r>
      <w:r w:rsidR="000930F5">
        <w:rPr>
          <w:rFonts w:ascii="Arial" w:eastAsia="Times New Roman" w:hAnsi="Arial" w:cs="Arial"/>
          <w:b/>
          <w:bCs/>
          <w:sz w:val="24"/>
          <w:szCs w:val="24"/>
          <w:lang w:eastAsia="es-ES"/>
        </w:rPr>
        <w:t>.Taxonomia NANDA.</w:t>
      </w:r>
    </w:p>
    <w:sectPr w:rsidR="000930F5" w:rsidSect="00A536D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6C"/>
    <w:rsid w:val="000930F5"/>
    <w:rsid w:val="000A2659"/>
    <w:rsid w:val="001C2EAD"/>
    <w:rsid w:val="00213E9F"/>
    <w:rsid w:val="00224FE4"/>
    <w:rsid w:val="00246FC0"/>
    <w:rsid w:val="0026369E"/>
    <w:rsid w:val="002D2DF5"/>
    <w:rsid w:val="003E0A2D"/>
    <w:rsid w:val="005A0593"/>
    <w:rsid w:val="00710305"/>
    <w:rsid w:val="00715E1C"/>
    <w:rsid w:val="008A1C07"/>
    <w:rsid w:val="008E74F1"/>
    <w:rsid w:val="0093735C"/>
    <w:rsid w:val="00A536D2"/>
    <w:rsid w:val="00AB2B4F"/>
    <w:rsid w:val="00AC2767"/>
    <w:rsid w:val="00B04FDB"/>
    <w:rsid w:val="00B94D40"/>
    <w:rsid w:val="00BB3ED4"/>
    <w:rsid w:val="00D36B50"/>
    <w:rsid w:val="00D75321"/>
    <w:rsid w:val="00DB3489"/>
    <w:rsid w:val="00DE746B"/>
    <w:rsid w:val="00E3463D"/>
    <w:rsid w:val="00E35C43"/>
    <w:rsid w:val="00E6006C"/>
    <w:rsid w:val="00F541C4"/>
    <w:rsid w:val="00FD1EEF"/>
    <w:rsid w:val="00FD7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B01F"/>
  <w15:chartTrackingRefBased/>
  <w15:docId w15:val="{C5CFAD4C-AAEF-4EBC-9DEE-7DD39ACA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75321"/>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7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75321"/>
    <w:rPr>
      <w:i/>
      <w:iCs/>
      <w:color w:val="404040" w:themeColor="text1" w:themeTint="BF"/>
    </w:rPr>
  </w:style>
  <w:style w:type="table" w:customStyle="1" w:styleId="TableGrid2">
    <w:name w:val="Table Grid2"/>
    <w:basedOn w:val="TableNormal"/>
    <w:next w:val="TableGrid"/>
    <w:uiPriority w:val="59"/>
    <w:rsid w:val="0026369E"/>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A536D2"/>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536D2"/>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1478</Words>
  <Characters>8134</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Geosbel Sacerio Perulena</cp:lastModifiedBy>
  <cp:revision>26</cp:revision>
  <dcterms:created xsi:type="dcterms:W3CDTF">2021-02-06T20:20:00Z</dcterms:created>
  <dcterms:modified xsi:type="dcterms:W3CDTF">2023-04-22T18:42:00Z</dcterms:modified>
</cp:coreProperties>
</file>