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B4" w:rsidRPr="00FA6FE3" w:rsidRDefault="00EC0DB4" w:rsidP="00FA6FE3">
      <w:pPr>
        <w:pStyle w:val="Title"/>
        <w:rPr>
          <w:rStyle w:val="Strong"/>
          <w:b w:val="0"/>
          <w:bCs w:val="0"/>
        </w:rPr>
      </w:pPr>
      <w:bookmarkStart w:id="0" w:name="_GoBack"/>
      <w:bookmarkEnd w:id="0"/>
      <w:r w:rsidRPr="00FA6FE3">
        <w:rPr>
          <w:rStyle w:val="Strong"/>
          <w:b w:val="0"/>
          <w:bCs w:val="0"/>
        </w:rPr>
        <w:t>Guía orientadora</w:t>
      </w:r>
      <w:r w:rsidR="000749BA" w:rsidRPr="00FA6FE3">
        <w:rPr>
          <w:rStyle w:val="Strong"/>
          <w:b w:val="0"/>
          <w:bCs w:val="0"/>
        </w:rPr>
        <w:t xml:space="preserve"> general</w:t>
      </w:r>
    </w:p>
    <w:p w:rsidR="00FA6FE3" w:rsidRDefault="00FA6FE3" w:rsidP="00FA6FE3">
      <w:pPr>
        <w:spacing w:after="120" w:line="360" w:lineRule="auto"/>
        <w:jc w:val="both"/>
        <w:rPr>
          <w:rFonts w:ascii="Arial" w:hAnsi="Arial" w:cs="Arial"/>
          <w:b/>
          <w:sz w:val="24"/>
          <w:szCs w:val="24"/>
        </w:rPr>
      </w:pPr>
    </w:p>
    <w:p w:rsidR="00FA6FE3" w:rsidRPr="00FA6FE3" w:rsidRDefault="00FA6FE3" w:rsidP="00FA6FE3">
      <w:pPr>
        <w:spacing w:after="120" w:line="360" w:lineRule="auto"/>
        <w:jc w:val="both"/>
        <w:rPr>
          <w:rFonts w:ascii="Arial" w:hAnsi="Arial" w:cs="Arial"/>
          <w:sz w:val="24"/>
          <w:szCs w:val="24"/>
        </w:rPr>
      </w:pPr>
      <w:r w:rsidRPr="00FA6FE3">
        <w:rPr>
          <w:rFonts w:ascii="Arial" w:hAnsi="Arial" w:cs="Arial"/>
          <w:b/>
          <w:sz w:val="24"/>
          <w:szCs w:val="24"/>
        </w:rPr>
        <w:t>Personal docente.</w:t>
      </w:r>
      <w:r w:rsidRPr="00FA6FE3">
        <w:rPr>
          <w:rFonts w:ascii="Arial" w:hAnsi="Arial" w:cs="Arial"/>
          <w:sz w:val="24"/>
          <w:szCs w:val="24"/>
        </w:rPr>
        <w:t xml:space="preserve"> Profesora principal. DrC. María Cáceres Toledo.</w:t>
      </w:r>
    </w:p>
    <w:p w:rsidR="00FA6FE3" w:rsidRDefault="00FA6FE3" w:rsidP="00FA6FE3">
      <w:pPr>
        <w:spacing w:after="120" w:line="360" w:lineRule="auto"/>
        <w:jc w:val="both"/>
        <w:rPr>
          <w:rFonts w:ascii="Arial" w:hAnsi="Arial" w:cs="Arial"/>
          <w:b/>
          <w:sz w:val="24"/>
          <w:szCs w:val="24"/>
        </w:rPr>
      </w:pPr>
    </w:p>
    <w:p w:rsidR="00FA6FE3" w:rsidRPr="00574C2C" w:rsidRDefault="00FA6FE3" w:rsidP="00574C2C">
      <w:pPr>
        <w:pStyle w:val="ListParagraph"/>
        <w:spacing w:after="120" w:line="360" w:lineRule="auto"/>
        <w:jc w:val="both"/>
        <w:rPr>
          <w:rFonts w:ascii="Arial" w:hAnsi="Arial" w:cs="Arial"/>
          <w:sz w:val="24"/>
          <w:szCs w:val="24"/>
        </w:rPr>
      </w:pPr>
      <w:r w:rsidRPr="00574C2C">
        <w:rPr>
          <w:rFonts w:ascii="Arial" w:hAnsi="Arial" w:cs="Arial"/>
          <w:sz w:val="24"/>
          <w:szCs w:val="24"/>
        </w:rPr>
        <w:t>INTRODUCCIÓN</w:t>
      </w:r>
    </w:p>
    <w:p w:rsidR="00D0065E" w:rsidRDefault="00D0065E" w:rsidP="00D0065E">
      <w:pPr>
        <w:pStyle w:val="ListParagraph"/>
        <w:spacing w:after="120" w:line="360" w:lineRule="auto"/>
        <w:ind w:left="0"/>
        <w:jc w:val="both"/>
        <w:rPr>
          <w:rFonts w:ascii="Arial" w:hAnsi="Arial" w:cs="Arial"/>
          <w:sz w:val="24"/>
          <w:szCs w:val="24"/>
        </w:rPr>
      </w:pPr>
      <w:r w:rsidRPr="00574C2C">
        <w:rPr>
          <w:rFonts w:ascii="Arial" w:hAnsi="Arial" w:cs="Arial"/>
          <w:sz w:val="24"/>
          <w:szCs w:val="24"/>
        </w:rPr>
        <w:t xml:space="preserve">La toxina botulínica es producida por una bacteria anaeróbica Gram positiva, el </w:t>
      </w:r>
      <w:proofErr w:type="spellStart"/>
      <w:r w:rsidRPr="00574C2C">
        <w:rPr>
          <w:rFonts w:ascii="Arial" w:hAnsi="Arial" w:cs="Arial"/>
          <w:sz w:val="24"/>
          <w:szCs w:val="24"/>
        </w:rPr>
        <w:t>Clostridium</w:t>
      </w:r>
      <w:proofErr w:type="spellEnd"/>
      <w:r w:rsidRPr="00574C2C">
        <w:rPr>
          <w:rFonts w:ascii="Arial" w:hAnsi="Arial" w:cs="Arial"/>
          <w:sz w:val="24"/>
          <w:szCs w:val="24"/>
        </w:rPr>
        <w:t xml:space="preserve"> botulinum.</w:t>
      </w:r>
      <w:r w:rsidRPr="00574C2C">
        <w:rPr>
          <w:rFonts w:ascii="Arial" w:hAnsi="Arial" w:cs="Arial"/>
          <w:sz w:val="24"/>
          <w:szCs w:val="24"/>
          <w:vertAlign w:val="superscript"/>
        </w:rPr>
        <w:t>8-13</w:t>
      </w:r>
      <w:r w:rsidRPr="00574C2C">
        <w:rPr>
          <w:rFonts w:ascii="Arial" w:hAnsi="Arial" w:cs="Arial"/>
          <w:sz w:val="24"/>
          <w:szCs w:val="24"/>
        </w:rPr>
        <w:t xml:space="preserve"> En condiciones de laboratorio se obtiene un producto liofilizado, la toxina botulínica A (TBA). Su efecto paralizante controlado actúa selectivamente en las terminales nerviosas colinérgicas para bloquear la salida de la acetilcolina; así disminuye la actividad muscular por un período de 4 a 6 meses.</w:t>
      </w:r>
      <w:r w:rsidRPr="00574C2C">
        <w:rPr>
          <w:rFonts w:ascii="Arial" w:hAnsi="Arial" w:cs="Arial"/>
          <w:sz w:val="24"/>
          <w:szCs w:val="24"/>
          <w:vertAlign w:val="superscript"/>
        </w:rPr>
        <w:t>10</w:t>
      </w:r>
      <w:proofErr w:type="gramStart"/>
      <w:r w:rsidRPr="00574C2C">
        <w:rPr>
          <w:rFonts w:ascii="Arial" w:hAnsi="Arial" w:cs="Arial"/>
          <w:sz w:val="24"/>
          <w:szCs w:val="24"/>
          <w:vertAlign w:val="superscript"/>
        </w:rPr>
        <w:t>,12</w:t>
      </w:r>
      <w:proofErr w:type="gramEnd"/>
      <w:r w:rsidRPr="00574C2C">
        <w:rPr>
          <w:rFonts w:ascii="Arial" w:hAnsi="Arial" w:cs="Arial"/>
          <w:sz w:val="24"/>
          <w:szCs w:val="24"/>
        </w:rPr>
        <w:t xml:space="preserve">  En el año 1973, el oftalmólogo Alan Scout10 lo utilizó por primera vez para tratar la </w:t>
      </w:r>
      <w:proofErr w:type="spellStart"/>
      <w:r w:rsidRPr="00574C2C">
        <w:rPr>
          <w:rFonts w:ascii="Arial" w:hAnsi="Arial" w:cs="Arial"/>
          <w:sz w:val="24"/>
          <w:szCs w:val="24"/>
        </w:rPr>
        <w:t>esotropía</w:t>
      </w:r>
      <w:proofErr w:type="spellEnd"/>
      <w:r w:rsidRPr="00574C2C">
        <w:rPr>
          <w:rFonts w:ascii="Arial" w:hAnsi="Arial" w:cs="Arial"/>
          <w:sz w:val="24"/>
          <w:szCs w:val="24"/>
        </w:rPr>
        <w:t xml:space="preserve"> infantil. Actualmente se utiliza con éxito en el estrabismo paralítico</w:t>
      </w:r>
      <w:r>
        <w:rPr>
          <w:rFonts w:ascii="Arial" w:hAnsi="Arial" w:cs="Arial"/>
          <w:sz w:val="24"/>
          <w:szCs w:val="24"/>
        </w:rPr>
        <w:t xml:space="preserve"> </w:t>
      </w:r>
      <w:r w:rsidRPr="00574C2C">
        <w:rPr>
          <w:rFonts w:ascii="Arial" w:hAnsi="Arial" w:cs="Arial"/>
          <w:sz w:val="24"/>
          <w:szCs w:val="24"/>
          <w:vertAlign w:val="superscript"/>
        </w:rPr>
        <w:t>7-15</w:t>
      </w:r>
      <w:r w:rsidRPr="00574C2C">
        <w:rPr>
          <w:rFonts w:ascii="Arial" w:hAnsi="Arial" w:cs="Arial"/>
          <w:sz w:val="24"/>
          <w:szCs w:val="24"/>
        </w:rPr>
        <w:t xml:space="preserve"> y como apoyo a los procedimientos realizados para su corrección quirúrgica.</w:t>
      </w:r>
      <w:r w:rsidRPr="00574C2C">
        <w:rPr>
          <w:rFonts w:ascii="Arial" w:hAnsi="Arial" w:cs="Arial"/>
          <w:sz w:val="24"/>
          <w:szCs w:val="24"/>
          <w:vertAlign w:val="superscript"/>
        </w:rPr>
        <w:t>16</w:t>
      </w:r>
      <w:proofErr w:type="gramStart"/>
      <w:r w:rsidRPr="00574C2C">
        <w:rPr>
          <w:rFonts w:ascii="Arial" w:hAnsi="Arial" w:cs="Arial"/>
          <w:sz w:val="24"/>
          <w:szCs w:val="24"/>
          <w:vertAlign w:val="superscript"/>
        </w:rPr>
        <w:t>,17</w:t>
      </w:r>
      <w:proofErr w:type="gramEnd"/>
      <w:r w:rsidRPr="00574C2C">
        <w:rPr>
          <w:rFonts w:ascii="Arial" w:hAnsi="Arial" w:cs="Arial"/>
          <w:sz w:val="24"/>
          <w:szCs w:val="24"/>
        </w:rPr>
        <w:t xml:space="preserve"> Lee y otros</w:t>
      </w:r>
      <w:r>
        <w:rPr>
          <w:rFonts w:ascii="Arial" w:hAnsi="Arial" w:cs="Arial"/>
          <w:sz w:val="24"/>
          <w:szCs w:val="24"/>
        </w:rPr>
        <w:t xml:space="preserve"> </w:t>
      </w:r>
      <w:r w:rsidRPr="00574C2C">
        <w:rPr>
          <w:rFonts w:ascii="Arial" w:hAnsi="Arial" w:cs="Arial"/>
          <w:sz w:val="24"/>
          <w:szCs w:val="24"/>
          <w:vertAlign w:val="superscript"/>
        </w:rPr>
        <w:t xml:space="preserve">5 </w:t>
      </w:r>
      <w:r w:rsidRPr="00574C2C">
        <w:rPr>
          <w:rFonts w:ascii="Arial" w:hAnsi="Arial" w:cs="Arial"/>
          <w:sz w:val="24"/>
          <w:szCs w:val="24"/>
        </w:rPr>
        <w:t>no demostraron la utilidad de la TBA en pacientes con parálisis del VI par; sin embargo, Quah,</w:t>
      </w:r>
      <w:r w:rsidRPr="00574C2C">
        <w:rPr>
          <w:rFonts w:ascii="Arial" w:hAnsi="Arial" w:cs="Arial"/>
          <w:sz w:val="24"/>
          <w:szCs w:val="24"/>
          <w:vertAlign w:val="superscript"/>
        </w:rPr>
        <w:t xml:space="preserve">6 </w:t>
      </w:r>
      <w:r w:rsidRPr="00574C2C">
        <w:rPr>
          <w:rFonts w:ascii="Arial" w:hAnsi="Arial" w:cs="Arial"/>
          <w:sz w:val="24"/>
          <w:szCs w:val="24"/>
        </w:rPr>
        <w:t>Moguel-</w:t>
      </w:r>
      <w:proofErr w:type="spellStart"/>
      <w:r w:rsidRPr="00574C2C">
        <w:rPr>
          <w:rFonts w:ascii="Arial" w:hAnsi="Arial" w:cs="Arial"/>
          <w:sz w:val="24"/>
          <w:szCs w:val="24"/>
        </w:rPr>
        <w:t>Ancheitas</w:t>
      </w:r>
      <w:proofErr w:type="spellEnd"/>
      <w:r w:rsidRPr="00574C2C">
        <w:rPr>
          <w:rFonts w:ascii="Arial" w:hAnsi="Arial" w:cs="Arial"/>
          <w:sz w:val="24"/>
          <w:szCs w:val="24"/>
        </w:rPr>
        <w:t xml:space="preserve"> y otros</w:t>
      </w:r>
      <w:r>
        <w:rPr>
          <w:rFonts w:ascii="Arial" w:hAnsi="Arial" w:cs="Arial"/>
          <w:sz w:val="24"/>
          <w:szCs w:val="24"/>
        </w:rPr>
        <w:t xml:space="preserve"> </w:t>
      </w:r>
      <w:r w:rsidRPr="00574C2C">
        <w:rPr>
          <w:rFonts w:ascii="Arial" w:hAnsi="Arial" w:cs="Arial"/>
          <w:sz w:val="24"/>
          <w:szCs w:val="24"/>
          <w:vertAlign w:val="superscript"/>
        </w:rPr>
        <w:t>14,15</w:t>
      </w:r>
      <w:r>
        <w:rPr>
          <w:rFonts w:ascii="Arial" w:hAnsi="Arial" w:cs="Arial"/>
          <w:sz w:val="24"/>
          <w:szCs w:val="24"/>
        </w:rPr>
        <w:t xml:space="preserve"> </w:t>
      </w:r>
      <w:r w:rsidRPr="00574C2C">
        <w:rPr>
          <w:rFonts w:ascii="Arial" w:hAnsi="Arial" w:cs="Arial"/>
          <w:sz w:val="24"/>
          <w:szCs w:val="24"/>
        </w:rPr>
        <w:t xml:space="preserve"> obtuvieron buenos resultados en pacientes con estrabismo paralítico de diferentes etiologías, sobre todo en los de menor ángulo de desviación. </w:t>
      </w:r>
    </w:p>
    <w:p w:rsidR="00574C2C" w:rsidRPr="00574C2C" w:rsidRDefault="00574C2C" w:rsidP="00D0065E">
      <w:pPr>
        <w:pStyle w:val="ListParagraph"/>
        <w:spacing w:after="120" w:line="360" w:lineRule="auto"/>
        <w:ind w:left="0"/>
        <w:jc w:val="both"/>
        <w:rPr>
          <w:rFonts w:ascii="Arial" w:hAnsi="Arial" w:cs="Arial"/>
          <w:sz w:val="24"/>
          <w:szCs w:val="24"/>
          <w:vertAlign w:val="superscript"/>
        </w:rPr>
      </w:pPr>
      <w:r w:rsidRPr="00574C2C">
        <w:rPr>
          <w:rFonts w:ascii="Arial" w:hAnsi="Arial" w:cs="Arial"/>
          <w:sz w:val="24"/>
          <w:szCs w:val="24"/>
        </w:rPr>
        <w:t>El estrabismo paralítico puede ocurrir por la afección de uno de los tres pares craneales que inervan los músculos extraoculares (III, IV o VI par), por daño del músculo o de la unión neuromuscular</w:t>
      </w:r>
      <w:r w:rsidR="00D0065E">
        <w:rPr>
          <w:rFonts w:ascii="Arial" w:hAnsi="Arial" w:cs="Arial"/>
          <w:sz w:val="24"/>
          <w:szCs w:val="24"/>
        </w:rPr>
        <w:t xml:space="preserve">, como se ve en la </w:t>
      </w:r>
      <w:proofErr w:type="spellStart"/>
      <w:r w:rsidR="00D0065E">
        <w:rPr>
          <w:rFonts w:ascii="Arial" w:hAnsi="Arial" w:cs="Arial"/>
          <w:sz w:val="24"/>
          <w:szCs w:val="24"/>
        </w:rPr>
        <w:t>Miatenia</w:t>
      </w:r>
      <w:proofErr w:type="spellEnd"/>
      <w:r w:rsidR="00D0065E">
        <w:rPr>
          <w:rFonts w:ascii="Arial" w:hAnsi="Arial" w:cs="Arial"/>
          <w:sz w:val="24"/>
          <w:szCs w:val="24"/>
        </w:rPr>
        <w:t xml:space="preserve"> Grave</w:t>
      </w:r>
      <w:r w:rsidRPr="00574C2C">
        <w:rPr>
          <w:rFonts w:ascii="Arial" w:hAnsi="Arial" w:cs="Arial"/>
          <w:sz w:val="24"/>
          <w:szCs w:val="24"/>
        </w:rPr>
        <w:t>. La paresia es la pérdida parcial y la parálisis la pérdida total de la función del músculo.</w:t>
      </w:r>
      <w:r w:rsidRPr="00574C2C">
        <w:rPr>
          <w:rFonts w:ascii="Arial" w:hAnsi="Arial" w:cs="Arial"/>
          <w:sz w:val="24"/>
          <w:szCs w:val="24"/>
          <w:vertAlign w:val="superscript"/>
        </w:rPr>
        <w:t>1-4</w:t>
      </w:r>
    </w:p>
    <w:p w:rsidR="00574C2C" w:rsidRPr="00574C2C" w:rsidRDefault="00574C2C" w:rsidP="00D0065E">
      <w:pPr>
        <w:pStyle w:val="ListParagraph"/>
        <w:spacing w:after="120" w:line="360" w:lineRule="auto"/>
        <w:ind w:left="0"/>
        <w:jc w:val="both"/>
        <w:rPr>
          <w:rFonts w:ascii="Arial" w:hAnsi="Arial" w:cs="Arial"/>
          <w:sz w:val="24"/>
          <w:szCs w:val="24"/>
        </w:rPr>
      </w:pPr>
      <w:r w:rsidRPr="00574C2C">
        <w:rPr>
          <w:rFonts w:ascii="Arial" w:hAnsi="Arial" w:cs="Arial"/>
          <w:sz w:val="24"/>
          <w:szCs w:val="24"/>
        </w:rPr>
        <w:t>La parálisis adquirida del III par puede ser parcial si afecta a los músculos extraoculares, y total si participa además la musculatura intrínseca. La recuperación es a los seis meses en la mayoría de los casos; sin embargo, cuando está relacionada con afecciones intracraneales graves, solo el 48 % se recupera de forma parcial o total.</w:t>
      </w:r>
      <w:r w:rsidRPr="00574C2C">
        <w:rPr>
          <w:rFonts w:ascii="Arial" w:hAnsi="Arial" w:cs="Arial"/>
          <w:sz w:val="24"/>
          <w:szCs w:val="24"/>
          <w:vertAlign w:val="superscript"/>
        </w:rPr>
        <w:t>1</w:t>
      </w:r>
      <w:proofErr w:type="gramStart"/>
      <w:r w:rsidRPr="00574C2C">
        <w:rPr>
          <w:rFonts w:ascii="Arial" w:hAnsi="Arial" w:cs="Arial"/>
          <w:sz w:val="24"/>
          <w:szCs w:val="24"/>
          <w:vertAlign w:val="superscript"/>
        </w:rPr>
        <w:t>,2</w:t>
      </w:r>
      <w:proofErr w:type="gramEnd"/>
      <w:r w:rsidRPr="00574C2C">
        <w:rPr>
          <w:rFonts w:ascii="Arial" w:hAnsi="Arial" w:cs="Arial"/>
          <w:sz w:val="24"/>
          <w:szCs w:val="24"/>
        </w:rPr>
        <w:t xml:space="preserve"> </w:t>
      </w:r>
      <w:r>
        <w:rPr>
          <w:rFonts w:ascii="Arial" w:hAnsi="Arial" w:cs="Arial"/>
          <w:sz w:val="24"/>
          <w:szCs w:val="24"/>
        </w:rPr>
        <w:t xml:space="preserve"> </w:t>
      </w:r>
      <w:r w:rsidRPr="00574C2C">
        <w:rPr>
          <w:rFonts w:ascii="Arial" w:hAnsi="Arial" w:cs="Arial"/>
          <w:sz w:val="24"/>
          <w:szCs w:val="24"/>
        </w:rPr>
        <w:t>Mark</w:t>
      </w:r>
      <w:r w:rsidRPr="00574C2C">
        <w:rPr>
          <w:rFonts w:ascii="Arial" w:hAnsi="Arial" w:cs="Arial"/>
          <w:sz w:val="24"/>
          <w:szCs w:val="24"/>
          <w:vertAlign w:val="superscript"/>
        </w:rPr>
        <w:t>4</w:t>
      </w:r>
      <w:r w:rsidRPr="00574C2C">
        <w:rPr>
          <w:rFonts w:ascii="Arial" w:hAnsi="Arial" w:cs="Arial"/>
          <w:sz w:val="24"/>
          <w:szCs w:val="24"/>
        </w:rPr>
        <w:t xml:space="preserve"> recomienda que se realice la resonancia magnética (RM) para detectar la presencia de aneurismas intracraneales. La causa más frecuente de la parálisis del IV par es el trauma craneal contuso, seguida por los tumores intracraneales. Si la afección es bilateral, el cuadro clínico se caracteriza por </w:t>
      </w:r>
      <w:proofErr w:type="spellStart"/>
      <w:r w:rsidRPr="00574C2C">
        <w:rPr>
          <w:rFonts w:ascii="Arial" w:hAnsi="Arial" w:cs="Arial"/>
          <w:sz w:val="24"/>
          <w:szCs w:val="24"/>
        </w:rPr>
        <w:t>hipertropía</w:t>
      </w:r>
      <w:proofErr w:type="spellEnd"/>
      <w:r w:rsidRPr="00574C2C">
        <w:rPr>
          <w:rFonts w:ascii="Arial" w:hAnsi="Arial" w:cs="Arial"/>
          <w:sz w:val="24"/>
          <w:szCs w:val="24"/>
        </w:rPr>
        <w:t xml:space="preserve"> derecha en la mirada hacia la izquierda y viceversa.</w:t>
      </w:r>
      <w:r w:rsidRPr="00574C2C">
        <w:rPr>
          <w:rFonts w:ascii="Arial" w:hAnsi="Arial" w:cs="Arial"/>
          <w:sz w:val="24"/>
          <w:szCs w:val="24"/>
          <w:vertAlign w:val="superscript"/>
        </w:rPr>
        <w:t>1</w:t>
      </w:r>
      <w:proofErr w:type="gramStart"/>
      <w:r w:rsidRPr="00574C2C">
        <w:rPr>
          <w:rFonts w:ascii="Arial" w:hAnsi="Arial" w:cs="Arial"/>
          <w:sz w:val="24"/>
          <w:szCs w:val="24"/>
          <w:vertAlign w:val="superscript"/>
        </w:rPr>
        <w:t>,2</w:t>
      </w:r>
      <w:proofErr w:type="gramEnd"/>
      <w:r w:rsidRPr="00574C2C">
        <w:rPr>
          <w:rFonts w:ascii="Arial" w:hAnsi="Arial" w:cs="Arial"/>
          <w:sz w:val="24"/>
          <w:szCs w:val="24"/>
        </w:rPr>
        <w:t xml:space="preserve"> Los pacientes con parálisis adquirida del VI </w:t>
      </w:r>
      <w:r w:rsidRPr="00574C2C">
        <w:rPr>
          <w:rFonts w:ascii="Arial" w:hAnsi="Arial" w:cs="Arial"/>
          <w:sz w:val="24"/>
          <w:szCs w:val="24"/>
        </w:rPr>
        <w:lastRenderedPageBreak/>
        <w:t xml:space="preserve">par presentan </w:t>
      </w:r>
      <w:proofErr w:type="spellStart"/>
      <w:r w:rsidRPr="00574C2C">
        <w:rPr>
          <w:rFonts w:ascii="Arial" w:hAnsi="Arial" w:cs="Arial"/>
          <w:sz w:val="24"/>
          <w:szCs w:val="24"/>
        </w:rPr>
        <w:t>esotropía</w:t>
      </w:r>
      <w:proofErr w:type="spellEnd"/>
      <w:r w:rsidRPr="00574C2C">
        <w:rPr>
          <w:rFonts w:ascii="Arial" w:hAnsi="Arial" w:cs="Arial"/>
          <w:sz w:val="24"/>
          <w:szCs w:val="24"/>
        </w:rPr>
        <w:t xml:space="preserve">. La afección bilateral se asocia a hipertensión </w:t>
      </w:r>
      <w:proofErr w:type="spellStart"/>
      <w:r w:rsidRPr="00574C2C">
        <w:rPr>
          <w:rFonts w:ascii="Arial" w:hAnsi="Arial" w:cs="Arial"/>
          <w:sz w:val="24"/>
          <w:szCs w:val="24"/>
        </w:rPr>
        <w:t>endocraneana</w:t>
      </w:r>
      <w:proofErr w:type="spellEnd"/>
      <w:r w:rsidRPr="00574C2C">
        <w:rPr>
          <w:rFonts w:ascii="Arial" w:hAnsi="Arial" w:cs="Arial"/>
          <w:sz w:val="24"/>
          <w:szCs w:val="24"/>
        </w:rPr>
        <w:t>. La etiología vascular es la causa más frecuente en las series de casos publicadas, seguida por la tumoral, la inmunológica, la traumática y la idiopática o indeterminada.</w:t>
      </w:r>
      <w:r w:rsidRPr="00574C2C">
        <w:rPr>
          <w:rFonts w:ascii="Arial" w:hAnsi="Arial" w:cs="Arial"/>
          <w:sz w:val="24"/>
          <w:szCs w:val="24"/>
          <w:vertAlign w:val="superscript"/>
        </w:rPr>
        <w:t>1-6</w:t>
      </w:r>
    </w:p>
    <w:p w:rsidR="00574C2C" w:rsidRPr="00574C2C" w:rsidRDefault="00574C2C" w:rsidP="00D0065E">
      <w:pPr>
        <w:pStyle w:val="ListParagraph"/>
        <w:spacing w:after="120" w:line="360" w:lineRule="auto"/>
        <w:ind w:left="0"/>
        <w:jc w:val="both"/>
        <w:rPr>
          <w:rFonts w:ascii="Arial" w:hAnsi="Arial" w:cs="Arial"/>
          <w:sz w:val="24"/>
          <w:szCs w:val="24"/>
        </w:rPr>
      </w:pPr>
      <w:r w:rsidRPr="00574C2C">
        <w:rPr>
          <w:rFonts w:ascii="Arial" w:hAnsi="Arial" w:cs="Arial"/>
          <w:sz w:val="24"/>
          <w:szCs w:val="24"/>
        </w:rPr>
        <w:t xml:space="preserve">El estrabismo es una </w:t>
      </w:r>
      <w:proofErr w:type="spellStart"/>
      <w:r w:rsidRPr="00574C2C">
        <w:rPr>
          <w:rFonts w:ascii="Arial" w:hAnsi="Arial" w:cs="Arial"/>
          <w:sz w:val="24"/>
          <w:szCs w:val="24"/>
        </w:rPr>
        <w:t>oftalmoplejía</w:t>
      </w:r>
      <w:proofErr w:type="spellEnd"/>
      <w:r w:rsidRPr="00574C2C">
        <w:rPr>
          <w:rFonts w:ascii="Arial" w:hAnsi="Arial" w:cs="Arial"/>
          <w:sz w:val="24"/>
          <w:szCs w:val="24"/>
        </w:rPr>
        <w:t xml:space="preserve"> que ocurre en el curso de la </w:t>
      </w:r>
      <w:proofErr w:type="spellStart"/>
      <w:r w:rsidRPr="00574C2C">
        <w:rPr>
          <w:rFonts w:ascii="Arial" w:hAnsi="Arial" w:cs="Arial"/>
          <w:sz w:val="24"/>
          <w:szCs w:val="24"/>
        </w:rPr>
        <w:t>orbitopatía</w:t>
      </w:r>
      <w:proofErr w:type="spellEnd"/>
      <w:r w:rsidRPr="00574C2C">
        <w:rPr>
          <w:rFonts w:ascii="Arial" w:hAnsi="Arial" w:cs="Arial"/>
          <w:sz w:val="24"/>
          <w:szCs w:val="24"/>
        </w:rPr>
        <w:t xml:space="preserve"> tiroidea (OT), como consecuencia del engrosamiento y posterior fibrosis de los músculos extraoculares y después de la cirugía descompresiva orbitaria. Las formas de presentación habituales son la </w:t>
      </w:r>
      <w:proofErr w:type="spellStart"/>
      <w:r w:rsidRPr="00574C2C">
        <w:rPr>
          <w:rFonts w:ascii="Arial" w:hAnsi="Arial" w:cs="Arial"/>
          <w:sz w:val="24"/>
          <w:szCs w:val="24"/>
        </w:rPr>
        <w:t>hipotropía</w:t>
      </w:r>
      <w:proofErr w:type="spellEnd"/>
      <w:r w:rsidRPr="00574C2C">
        <w:rPr>
          <w:rFonts w:ascii="Arial" w:hAnsi="Arial" w:cs="Arial"/>
          <w:sz w:val="24"/>
          <w:szCs w:val="24"/>
        </w:rPr>
        <w:t xml:space="preserve"> y la esotropía.</w:t>
      </w:r>
      <w:r w:rsidRPr="00574C2C">
        <w:rPr>
          <w:rFonts w:ascii="Arial" w:hAnsi="Arial" w:cs="Arial"/>
          <w:sz w:val="24"/>
          <w:szCs w:val="24"/>
          <w:vertAlign w:val="superscript"/>
        </w:rPr>
        <w:t>7-9</w:t>
      </w:r>
      <w:r w:rsidRPr="00574C2C">
        <w:rPr>
          <w:rFonts w:ascii="Arial" w:hAnsi="Arial" w:cs="Arial"/>
          <w:sz w:val="24"/>
          <w:szCs w:val="24"/>
        </w:rPr>
        <w:t xml:space="preserve"> El objetivo fundamental es eliminar la diplopía. El tratamiento convencional se basa en la observación clínica y en las vitaminas del complejo B2. La oclusión alterna elimina la diplopía, en el período que esperan por la recuperación espontánea o el tratamiento quirúrgico, el cual  se realiza después de los 6 meses, si persiste la afección y el estado general del paciente lo permite.</w:t>
      </w:r>
      <w:r w:rsidRPr="00574C2C">
        <w:rPr>
          <w:rFonts w:ascii="Arial" w:hAnsi="Arial" w:cs="Arial"/>
          <w:sz w:val="24"/>
          <w:szCs w:val="24"/>
          <w:vertAlign w:val="superscript"/>
        </w:rPr>
        <w:t>1-7</w:t>
      </w:r>
    </w:p>
    <w:p w:rsidR="00D0065E" w:rsidRDefault="00D0065E" w:rsidP="00D0065E">
      <w:pPr>
        <w:pStyle w:val="NormalWeb"/>
        <w:spacing w:line="360" w:lineRule="auto"/>
        <w:ind w:right="-28"/>
        <w:jc w:val="both"/>
        <w:rPr>
          <w:rFonts w:ascii="Arial" w:hAnsi="Arial" w:cs="Arial"/>
          <w:bCs/>
        </w:rPr>
      </w:pPr>
      <w:r w:rsidRPr="00D0065E">
        <w:rPr>
          <w:rFonts w:ascii="Arial" w:eastAsiaTheme="minorHAnsi" w:hAnsi="Arial" w:cs="Arial"/>
          <w:lang w:eastAsia="en-US"/>
        </w:rPr>
        <w:t xml:space="preserve">La Miastenia Grave  (MG), es una enfermedad en la cual auto anticuerpos  contra los receptores colinérgicos de la placa neuromuscular impiden la trasmisión sináptica del nervio al músculo. Esta enfermedad es más frecuente en las mujeres jóvenes. La MG ocular se caracteriza por la fluctuación en la intensidad de los síntomas y la mejoría con el reposo, puede afectar a un solo ojo e inclusive a un solo músculo7.  La diplopía muscular franca es la forma de presentación más frecuente, en ocasiones simula una </w:t>
      </w:r>
      <w:proofErr w:type="spellStart"/>
      <w:r w:rsidRPr="00D0065E">
        <w:rPr>
          <w:rFonts w:ascii="Arial" w:eastAsiaTheme="minorHAnsi" w:hAnsi="Arial" w:cs="Arial"/>
          <w:lang w:eastAsia="en-US"/>
        </w:rPr>
        <w:t>oftalmoplejía</w:t>
      </w:r>
      <w:proofErr w:type="spellEnd"/>
      <w:r w:rsidRPr="00D0065E">
        <w:rPr>
          <w:rFonts w:ascii="Arial" w:eastAsiaTheme="minorHAnsi" w:hAnsi="Arial" w:cs="Arial"/>
          <w:lang w:eastAsia="en-US"/>
        </w:rPr>
        <w:t xml:space="preserve"> </w:t>
      </w:r>
      <w:proofErr w:type="spellStart"/>
      <w:r w:rsidRPr="00D0065E">
        <w:rPr>
          <w:rFonts w:ascii="Arial" w:eastAsiaTheme="minorHAnsi" w:hAnsi="Arial" w:cs="Arial"/>
          <w:lang w:eastAsia="en-US"/>
        </w:rPr>
        <w:t>internuclear</w:t>
      </w:r>
      <w:proofErr w:type="spellEnd"/>
      <w:r w:rsidRPr="00D0065E">
        <w:rPr>
          <w:rFonts w:ascii="Arial" w:eastAsiaTheme="minorHAnsi" w:hAnsi="Arial" w:cs="Arial"/>
          <w:lang w:eastAsia="en-US"/>
        </w:rPr>
        <w:t>. La administración de edrofonio (3 a 10 milígramos) hace el diagnóstico positivo de MG</w:t>
      </w:r>
      <w:r>
        <w:rPr>
          <w:rFonts w:ascii="Arial" w:hAnsi="Arial" w:cs="Arial"/>
          <w:bCs/>
        </w:rPr>
        <w:t xml:space="preserve">.   </w:t>
      </w:r>
    </w:p>
    <w:p w:rsidR="00D0065E" w:rsidRDefault="00D0065E" w:rsidP="00D0065E">
      <w:pPr>
        <w:pStyle w:val="NormalWeb"/>
        <w:spacing w:line="360" w:lineRule="auto"/>
        <w:ind w:right="-28"/>
        <w:jc w:val="both"/>
        <w:rPr>
          <w:rFonts w:ascii="Arial" w:hAnsi="Arial" w:cs="Arial"/>
          <w:bCs/>
        </w:rPr>
      </w:pPr>
      <w:r>
        <w:rPr>
          <w:rFonts w:ascii="Arial" w:eastAsia="Calibri" w:hAnsi="Arial" w:cs="Arial"/>
          <w:bCs/>
          <w:lang w:val="es-ES_tradnl" w:eastAsia="en-US"/>
        </w:rPr>
        <w:t xml:space="preserve">El tratamiento se basa en la compensación de la enfermedad de base.  </w:t>
      </w:r>
      <w:r w:rsidRPr="002E3EC6">
        <w:rPr>
          <w:rFonts w:ascii="Arial" w:eastAsia="Calibri" w:hAnsi="Arial" w:cs="Arial"/>
          <w:bCs/>
          <w:lang w:val="es-ES_tradnl" w:eastAsia="en-US"/>
        </w:rPr>
        <w:t xml:space="preserve">Actualmente se ha incrementado </w:t>
      </w:r>
      <w:r>
        <w:rPr>
          <w:rFonts w:ascii="Arial" w:eastAsia="Calibri" w:hAnsi="Arial" w:cs="Arial"/>
          <w:bCs/>
          <w:lang w:val="es-ES_tradnl" w:eastAsia="en-US"/>
        </w:rPr>
        <w:t>el</w:t>
      </w:r>
      <w:r w:rsidRPr="002E3EC6">
        <w:rPr>
          <w:rFonts w:ascii="Arial" w:eastAsia="Calibri" w:hAnsi="Arial" w:cs="Arial"/>
          <w:bCs/>
          <w:lang w:val="es-ES_tradnl" w:eastAsia="en-US"/>
        </w:rPr>
        <w:t xml:space="preserve">  uso </w:t>
      </w:r>
      <w:r>
        <w:rPr>
          <w:rFonts w:ascii="Arial" w:eastAsia="Calibri" w:hAnsi="Arial" w:cs="Arial"/>
          <w:bCs/>
          <w:lang w:val="es-ES_tradnl" w:eastAsia="en-US"/>
        </w:rPr>
        <w:t>de la TBA en esta entidad, con buenos resultados</w:t>
      </w:r>
    </w:p>
    <w:p w:rsidR="00574C2C" w:rsidRDefault="00574C2C" w:rsidP="00574C2C">
      <w:pPr>
        <w:pStyle w:val="NormalWeb"/>
        <w:spacing w:after="0" w:afterAutospacing="0"/>
        <w:jc w:val="both"/>
      </w:pPr>
    </w:p>
    <w:p w:rsidR="00EC0DB4" w:rsidRPr="00FA6FE3" w:rsidRDefault="00EC0DB4" w:rsidP="00FA6FE3">
      <w:pPr>
        <w:spacing w:after="120" w:line="360" w:lineRule="auto"/>
        <w:jc w:val="both"/>
        <w:rPr>
          <w:rFonts w:ascii="Arial" w:hAnsi="Arial" w:cs="Arial"/>
          <w:sz w:val="24"/>
          <w:szCs w:val="24"/>
        </w:rPr>
      </w:pPr>
      <w:r w:rsidRPr="00FA6FE3">
        <w:rPr>
          <w:rFonts w:ascii="Arial" w:hAnsi="Arial" w:cs="Arial"/>
          <w:sz w:val="24"/>
          <w:szCs w:val="24"/>
        </w:rPr>
        <w:t xml:space="preserve">El objetivo del presente curso es dar a conocer las </w:t>
      </w:r>
      <w:r w:rsidR="00574C2C">
        <w:rPr>
          <w:rFonts w:ascii="Arial" w:hAnsi="Arial" w:cs="Arial"/>
          <w:sz w:val="24"/>
          <w:szCs w:val="24"/>
        </w:rPr>
        <w:t>aplicaciones de la TBA en Oftalmología</w:t>
      </w:r>
      <w:r w:rsidR="00D0065E">
        <w:rPr>
          <w:rFonts w:ascii="Arial" w:hAnsi="Arial" w:cs="Arial"/>
          <w:sz w:val="24"/>
          <w:szCs w:val="24"/>
        </w:rPr>
        <w:t xml:space="preserve">, </w:t>
      </w:r>
      <w:r w:rsidR="00D0065E" w:rsidRPr="00FA6FE3">
        <w:rPr>
          <w:rFonts w:ascii="Arial" w:hAnsi="Arial" w:cs="Arial"/>
          <w:sz w:val="24"/>
          <w:szCs w:val="24"/>
        </w:rPr>
        <w:t>fundamental</w:t>
      </w:r>
      <w:r w:rsidR="00D0065E">
        <w:rPr>
          <w:rFonts w:ascii="Arial" w:hAnsi="Arial" w:cs="Arial"/>
          <w:sz w:val="24"/>
          <w:szCs w:val="24"/>
        </w:rPr>
        <w:t>mente en el estrabismo paralítico y la Orbitopatía Tiroidea</w:t>
      </w:r>
    </w:p>
    <w:p w:rsidR="00FA6FE3" w:rsidRDefault="00FA6FE3" w:rsidP="00FA6FE3">
      <w:pPr>
        <w:spacing w:after="120" w:line="360" w:lineRule="auto"/>
        <w:jc w:val="both"/>
        <w:rPr>
          <w:rFonts w:ascii="Arial" w:hAnsi="Arial" w:cs="Arial"/>
          <w:b/>
          <w:sz w:val="24"/>
          <w:szCs w:val="24"/>
        </w:rPr>
      </w:pPr>
    </w:p>
    <w:p w:rsidR="00D0065E" w:rsidRDefault="00D0065E" w:rsidP="00FA6FE3">
      <w:pPr>
        <w:spacing w:after="120" w:line="360" w:lineRule="auto"/>
        <w:jc w:val="both"/>
        <w:rPr>
          <w:rFonts w:ascii="Arial" w:hAnsi="Arial" w:cs="Arial"/>
          <w:b/>
          <w:sz w:val="24"/>
          <w:szCs w:val="24"/>
        </w:rPr>
      </w:pPr>
    </w:p>
    <w:p w:rsidR="00EC0DB4" w:rsidRPr="00FA6FE3" w:rsidRDefault="00FA6FE3" w:rsidP="00FA6FE3">
      <w:pPr>
        <w:spacing w:after="120" w:line="360" w:lineRule="auto"/>
        <w:jc w:val="both"/>
        <w:rPr>
          <w:rFonts w:ascii="Arial" w:hAnsi="Arial" w:cs="Arial"/>
          <w:b/>
          <w:sz w:val="24"/>
          <w:szCs w:val="24"/>
        </w:rPr>
      </w:pPr>
      <w:r w:rsidRPr="00FA6FE3">
        <w:rPr>
          <w:rFonts w:ascii="Arial" w:hAnsi="Arial" w:cs="Arial"/>
          <w:b/>
          <w:sz w:val="24"/>
          <w:szCs w:val="24"/>
        </w:rPr>
        <w:lastRenderedPageBreak/>
        <w:t>OBJETIVO</w:t>
      </w:r>
      <w:r w:rsidR="00574C2C">
        <w:rPr>
          <w:rFonts w:ascii="Arial" w:hAnsi="Arial" w:cs="Arial"/>
          <w:b/>
          <w:sz w:val="24"/>
          <w:szCs w:val="24"/>
        </w:rPr>
        <w:t>S</w:t>
      </w:r>
      <w:r w:rsidRPr="00FA6FE3">
        <w:rPr>
          <w:rFonts w:ascii="Arial" w:hAnsi="Arial" w:cs="Arial"/>
          <w:b/>
          <w:sz w:val="24"/>
          <w:szCs w:val="24"/>
        </w:rPr>
        <w:t xml:space="preserve"> </w:t>
      </w:r>
    </w:p>
    <w:p w:rsidR="00EC0DB4" w:rsidRPr="00FA6FE3" w:rsidRDefault="00EC0DB4" w:rsidP="00FA6FE3">
      <w:pPr>
        <w:spacing w:after="120" w:line="360" w:lineRule="auto"/>
        <w:jc w:val="both"/>
        <w:rPr>
          <w:rFonts w:ascii="Arial" w:hAnsi="Arial" w:cs="Arial"/>
          <w:sz w:val="24"/>
          <w:szCs w:val="24"/>
        </w:rPr>
      </w:pPr>
      <w:r w:rsidRPr="00FA6FE3">
        <w:rPr>
          <w:rFonts w:ascii="Arial" w:hAnsi="Arial" w:cs="Arial"/>
          <w:sz w:val="24"/>
          <w:szCs w:val="24"/>
        </w:rPr>
        <w:t>Al finalizar el entrenamiento los cursistas serán capaces de.</w:t>
      </w:r>
    </w:p>
    <w:p w:rsidR="00EC0DB4" w:rsidRPr="00FA6FE3" w:rsidRDefault="00EC0DB4" w:rsidP="00FA6FE3">
      <w:pPr>
        <w:pStyle w:val="ListParagraph"/>
        <w:numPr>
          <w:ilvl w:val="0"/>
          <w:numId w:val="3"/>
        </w:numPr>
        <w:spacing w:after="120" w:line="360" w:lineRule="auto"/>
        <w:jc w:val="both"/>
        <w:rPr>
          <w:rFonts w:ascii="Arial" w:hAnsi="Arial" w:cs="Arial"/>
          <w:sz w:val="24"/>
          <w:szCs w:val="24"/>
        </w:rPr>
      </w:pPr>
      <w:r w:rsidRPr="00FA6FE3">
        <w:rPr>
          <w:rFonts w:ascii="Arial" w:hAnsi="Arial" w:cs="Arial"/>
          <w:sz w:val="24"/>
          <w:szCs w:val="24"/>
        </w:rPr>
        <w:t xml:space="preserve">Determinar  cuál es el </w:t>
      </w:r>
      <w:r w:rsidR="00574C2C">
        <w:rPr>
          <w:rFonts w:ascii="Arial" w:hAnsi="Arial" w:cs="Arial"/>
          <w:sz w:val="24"/>
          <w:szCs w:val="24"/>
        </w:rPr>
        <w:t>músculo seleccionado para la inyección del medicamento y la dosis a aplicar en cada caso, según la etiología y gravedad clínica de  la afección.</w:t>
      </w:r>
      <w:r w:rsidRPr="00FA6FE3">
        <w:rPr>
          <w:rFonts w:ascii="Arial" w:hAnsi="Arial" w:cs="Arial"/>
          <w:sz w:val="24"/>
          <w:szCs w:val="24"/>
        </w:rPr>
        <w:t xml:space="preserve">  </w:t>
      </w:r>
    </w:p>
    <w:p w:rsidR="00EC0DB4" w:rsidRPr="00FA6FE3" w:rsidRDefault="00574C2C" w:rsidP="00FA6FE3">
      <w:pPr>
        <w:pStyle w:val="ListParagraph"/>
        <w:numPr>
          <w:ilvl w:val="0"/>
          <w:numId w:val="3"/>
        </w:numPr>
        <w:spacing w:after="120" w:line="360" w:lineRule="auto"/>
        <w:jc w:val="both"/>
        <w:rPr>
          <w:rFonts w:ascii="Arial" w:hAnsi="Arial" w:cs="Arial"/>
          <w:sz w:val="24"/>
          <w:szCs w:val="24"/>
        </w:rPr>
      </w:pPr>
      <w:r>
        <w:rPr>
          <w:rFonts w:ascii="Arial" w:hAnsi="Arial" w:cs="Arial"/>
          <w:sz w:val="24"/>
          <w:szCs w:val="24"/>
        </w:rPr>
        <w:t xml:space="preserve">Evaluar los resultados terapéuticos obtenidos en cuanto </w:t>
      </w:r>
      <w:proofErr w:type="gramStart"/>
      <w:r>
        <w:rPr>
          <w:rFonts w:ascii="Arial" w:hAnsi="Arial" w:cs="Arial"/>
          <w:sz w:val="24"/>
          <w:szCs w:val="24"/>
        </w:rPr>
        <w:t>a</w:t>
      </w:r>
      <w:proofErr w:type="gramEnd"/>
      <w:r>
        <w:rPr>
          <w:rFonts w:ascii="Arial" w:hAnsi="Arial" w:cs="Arial"/>
          <w:sz w:val="24"/>
          <w:szCs w:val="24"/>
        </w:rPr>
        <w:t>: disminución del grado de desviación ocular en cada caso</w:t>
      </w:r>
      <w:r w:rsidR="00EC0DB4" w:rsidRPr="00FA6FE3">
        <w:rPr>
          <w:rFonts w:ascii="Arial" w:hAnsi="Arial" w:cs="Arial"/>
          <w:sz w:val="24"/>
          <w:szCs w:val="24"/>
        </w:rPr>
        <w:t>.</w:t>
      </w:r>
    </w:p>
    <w:p w:rsidR="00EC0DB4" w:rsidRPr="00FA6FE3" w:rsidRDefault="00EC0DB4" w:rsidP="00FA6FE3">
      <w:pPr>
        <w:spacing w:after="120" w:line="360" w:lineRule="auto"/>
        <w:jc w:val="both"/>
        <w:rPr>
          <w:rFonts w:ascii="Arial" w:hAnsi="Arial" w:cs="Arial"/>
          <w:sz w:val="24"/>
          <w:szCs w:val="24"/>
        </w:rPr>
      </w:pPr>
    </w:p>
    <w:p w:rsidR="00EC0DB4" w:rsidRPr="00FA6FE3" w:rsidRDefault="00FA6FE3" w:rsidP="00FA6FE3">
      <w:pPr>
        <w:spacing w:after="120" w:line="360" w:lineRule="auto"/>
        <w:jc w:val="both"/>
        <w:rPr>
          <w:rFonts w:ascii="Arial" w:hAnsi="Arial" w:cs="Arial"/>
          <w:b/>
          <w:sz w:val="24"/>
          <w:szCs w:val="24"/>
        </w:rPr>
      </w:pPr>
      <w:r w:rsidRPr="00FA6FE3">
        <w:rPr>
          <w:rFonts w:ascii="Arial" w:hAnsi="Arial" w:cs="Arial"/>
          <w:b/>
          <w:sz w:val="24"/>
          <w:szCs w:val="24"/>
        </w:rPr>
        <w:t>ESTRATEGIA DOCENTE</w:t>
      </w:r>
    </w:p>
    <w:p w:rsidR="004618C8" w:rsidRDefault="004618C8" w:rsidP="004618C8">
      <w:pPr>
        <w:pStyle w:val="BodyText2"/>
        <w:tabs>
          <w:tab w:val="left" w:pos="720"/>
        </w:tabs>
        <w:spacing w:line="360" w:lineRule="auto"/>
        <w:jc w:val="both"/>
        <w:rPr>
          <w:rFonts w:ascii="Arial" w:eastAsia="Calibri" w:hAnsi="Arial" w:cs="Arial"/>
          <w:bCs/>
          <w:sz w:val="24"/>
          <w:szCs w:val="24"/>
          <w:lang w:eastAsia="en-US"/>
        </w:rPr>
      </w:pPr>
      <w:r>
        <w:rPr>
          <w:rFonts w:ascii="Arial" w:eastAsia="Calibri" w:hAnsi="Arial" w:cs="Arial"/>
          <w:bCs/>
          <w:sz w:val="24"/>
          <w:szCs w:val="24"/>
          <w:lang w:eastAsia="en-US"/>
        </w:rPr>
        <w:t>Se recomienda que los alumnos vean las conferencias preparadas para impartir los conocimientos de cada uno de los temas, revisen la bibliografía y si tienen dudas pueden consultar directamente a  los profesores</w:t>
      </w:r>
      <w:r w:rsidRPr="004618C8">
        <w:rPr>
          <w:rFonts w:ascii="Arial" w:eastAsia="Calibri" w:hAnsi="Arial" w:cs="Arial"/>
          <w:bCs/>
          <w:sz w:val="24"/>
          <w:szCs w:val="24"/>
          <w:lang w:eastAsia="en-US"/>
        </w:rPr>
        <w:t xml:space="preserve"> </w:t>
      </w:r>
      <w:r>
        <w:rPr>
          <w:rFonts w:ascii="Arial" w:eastAsia="Calibri" w:hAnsi="Arial" w:cs="Arial"/>
          <w:bCs/>
          <w:sz w:val="24"/>
          <w:szCs w:val="24"/>
          <w:lang w:eastAsia="en-US"/>
        </w:rPr>
        <w:t>del curso.</w:t>
      </w:r>
    </w:p>
    <w:p w:rsidR="00EC0DB4" w:rsidRPr="00FA6FE3" w:rsidRDefault="004618C8" w:rsidP="00FA6FE3">
      <w:pPr>
        <w:spacing w:after="120" w:line="360" w:lineRule="auto"/>
        <w:jc w:val="both"/>
        <w:rPr>
          <w:rFonts w:ascii="Arial" w:hAnsi="Arial" w:cs="Arial"/>
          <w:sz w:val="24"/>
          <w:szCs w:val="24"/>
        </w:rPr>
      </w:pPr>
      <w:r>
        <w:rPr>
          <w:rFonts w:ascii="Arial" w:hAnsi="Arial" w:cs="Arial"/>
          <w:sz w:val="24"/>
          <w:szCs w:val="24"/>
          <w:lang w:val="es-ES_tradnl"/>
        </w:rPr>
        <w:t>I</w:t>
      </w:r>
      <w:proofErr w:type="spellStart"/>
      <w:r w:rsidRPr="00FA6FE3">
        <w:rPr>
          <w:rFonts w:ascii="Arial" w:hAnsi="Arial" w:cs="Arial"/>
          <w:sz w:val="24"/>
          <w:szCs w:val="24"/>
        </w:rPr>
        <w:t>mparten</w:t>
      </w:r>
      <w:proofErr w:type="spellEnd"/>
      <w:r w:rsidRPr="00FA6FE3">
        <w:rPr>
          <w:rFonts w:ascii="Arial" w:hAnsi="Arial" w:cs="Arial"/>
          <w:sz w:val="24"/>
          <w:szCs w:val="24"/>
        </w:rPr>
        <w:t xml:space="preserve"> el curso </w:t>
      </w:r>
      <w:r>
        <w:rPr>
          <w:rFonts w:ascii="Arial" w:hAnsi="Arial" w:cs="Arial"/>
          <w:sz w:val="24"/>
          <w:szCs w:val="24"/>
        </w:rPr>
        <w:t>u</w:t>
      </w:r>
      <w:r w:rsidR="00EC0DB4" w:rsidRPr="00FA6FE3">
        <w:rPr>
          <w:rFonts w:ascii="Arial" w:hAnsi="Arial" w:cs="Arial"/>
          <w:sz w:val="24"/>
          <w:szCs w:val="24"/>
        </w:rPr>
        <w:t xml:space="preserve">n total de </w:t>
      </w:r>
      <w:r>
        <w:rPr>
          <w:rFonts w:ascii="Arial" w:hAnsi="Arial" w:cs="Arial"/>
          <w:sz w:val="24"/>
          <w:szCs w:val="24"/>
        </w:rPr>
        <w:t>4</w:t>
      </w:r>
      <w:r w:rsidR="00AC4FD9">
        <w:rPr>
          <w:rFonts w:ascii="Arial" w:hAnsi="Arial" w:cs="Arial"/>
          <w:sz w:val="24"/>
          <w:szCs w:val="24"/>
        </w:rPr>
        <w:t xml:space="preserve"> </w:t>
      </w:r>
      <w:r>
        <w:rPr>
          <w:rFonts w:ascii="Arial" w:hAnsi="Arial" w:cs="Arial"/>
          <w:sz w:val="24"/>
          <w:szCs w:val="24"/>
        </w:rPr>
        <w:t>especialistas</w:t>
      </w:r>
      <w:r w:rsidR="00EC0DB4" w:rsidRPr="00FA6FE3">
        <w:rPr>
          <w:rFonts w:ascii="Arial" w:hAnsi="Arial" w:cs="Arial"/>
          <w:sz w:val="24"/>
          <w:szCs w:val="24"/>
        </w:rPr>
        <w:t>, altamente calificados, los que a su vez constituyen un equipo de trabajo que interactúa con los cursistas. La actividad se oferta con carácter Nacional e Internacional.</w:t>
      </w:r>
    </w:p>
    <w:p w:rsidR="00EC0DB4" w:rsidRPr="00FA6FE3" w:rsidRDefault="00EC0DB4" w:rsidP="00FA6FE3">
      <w:pPr>
        <w:spacing w:after="120" w:line="360" w:lineRule="auto"/>
        <w:jc w:val="both"/>
        <w:rPr>
          <w:rFonts w:ascii="Arial" w:hAnsi="Arial" w:cs="Arial"/>
          <w:sz w:val="24"/>
          <w:szCs w:val="24"/>
        </w:rPr>
      </w:pPr>
      <w:r w:rsidRPr="00FA6FE3">
        <w:rPr>
          <w:rFonts w:ascii="Arial" w:hAnsi="Arial" w:cs="Arial"/>
          <w:sz w:val="24"/>
          <w:szCs w:val="24"/>
        </w:rPr>
        <w:t xml:space="preserve">El curso se va a realizar por la modalidad </w:t>
      </w:r>
      <w:proofErr w:type="spellStart"/>
      <w:r w:rsidR="00AC4FD9">
        <w:rPr>
          <w:rFonts w:ascii="Arial" w:hAnsi="Arial" w:cs="Arial"/>
          <w:sz w:val="24"/>
          <w:szCs w:val="24"/>
        </w:rPr>
        <w:t>semi</w:t>
      </w:r>
      <w:proofErr w:type="spellEnd"/>
      <w:r w:rsidR="00AC4FD9">
        <w:rPr>
          <w:rFonts w:ascii="Arial" w:hAnsi="Arial" w:cs="Arial"/>
          <w:sz w:val="24"/>
          <w:szCs w:val="24"/>
        </w:rPr>
        <w:t>-presencial</w:t>
      </w:r>
      <w:r w:rsidRPr="00FA6FE3">
        <w:rPr>
          <w:rFonts w:ascii="Arial" w:hAnsi="Arial" w:cs="Arial"/>
          <w:sz w:val="24"/>
          <w:szCs w:val="24"/>
        </w:rPr>
        <w:t xml:space="preserve">, con los recursos que aporta el Aula Virtual de Salud. Los profesores se encuentran en la a sede del Hospital Clínico-Quirúrgico Hermanos Ameijeiras. </w:t>
      </w:r>
    </w:p>
    <w:p w:rsidR="00EC0DB4" w:rsidRPr="00FA6FE3" w:rsidRDefault="00EC0DB4" w:rsidP="00FA6FE3">
      <w:pPr>
        <w:spacing w:after="120" w:line="360" w:lineRule="auto"/>
        <w:jc w:val="both"/>
        <w:rPr>
          <w:rFonts w:ascii="Arial" w:hAnsi="Arial" w:cs="Arial"/>
          <w:sz w:val="24"/>
          <w:szCs w:val="24"/>
        </w:rPr>
      </w:pPr>
      <w:r w:rsidRPr="00FA6FE3">
        <w:rPr>
          <w:rFonts w:ascii="Arial" w:hAnsi="Arial" w:cs="Arial"/>
          <w:sz w:val="24"/>
          <w:szCs w:val="24"/>
        </w:rPr>
        <w:t xml:space="preserve">Los primeros tres temas constituyen la fundamentación teórica del curso y el resto va dirigido a la compresión de las </w:t>
      </w:r>
      <w:r w:rsidR="00AC4FD9">
        <w:rPr>
          <w:rFonts w:ascii="Arial" w:hAnsi="Arial" w:cs="Arial"/>
          <w:sz w:val="24"/>
          <w:szCs w:val="24"/>
        </w:rPr>
        <w:t xml:space="preserve">aplicaciones </w:t>
      </w:r>
      <w:r w:rsidRPr="00FA6FE3">
        <w:rPr>
          <w:rFonts w:ascii="Arial" w:hAnsi="Arial" w:cs="Arial"/>
          <w:sz w:val="24"/>
          <w:szCs w:val="24"/>
        </w:rPr>
        <w:t xml:space="preserve"> terapéuticas </w:t>
      </w:r>
      <w:r w:rsidR="00AC4FD9">
        <w:rPr>
          <w:rFonts w:ascii="Arial" w:hAnsi="Arial" w:cs="Arial"/>
          <w:sz w:val="24"/>
          <w:szCs w:val="24"/>
        </w:rPr>
        <w:t>de</w:t>
      </w:r>
      <w:r w:rsidRPr="00FA6FE3">
        <w:rPr>
          <w:rFonts w:ascii="Arial" w:hAnsi="Arial" w:cs="Arial"/>
          <w:sz w:val="24"/>
          <w:szCs w:val="24"/>
        </w:rPr>
        <w:t xml:space="preserve"> la </w:t>
      </w:r>
      <w:r w:rsidR="00AC4FD9">
        <w:rPr>
          <w:rFonts w:ascii="Arial" w:hAnsi="Arial" w:cs="Arial"/>
          <w:sz w:val="24"/>
          <w:szCs w:val="24"/>
        </w:rPr>
        <w:t>TBA</w:t>
      </w:r>
      <w:r w:rsidR="004618C8">
        <w:rPr>
          <w:rFonts w:ascii="Arial" w:hAnsi="Arial" w:cs="Arial"/>
          <w:sz w:val="24"/>
          <w:szCs w:val="24"/>
        </w:rPr>
        <w:t xml:space="preserve"> en las siguientes enfermedades. Estrabismo Paralítico, Orbitopatía Tiroidea, Miastenia Grave y Lagoftalmos paralítico</w:t>
      </w:r>
      <w:r w:rsidR="00AC4FD9">
        <w:rPr>
          <w:rFonts w:ascii="Arial" w:hAnsi="Arial" w:cs="Arial"/>
          <w:sz w:val="24"/>
          <w:szCs w:val="24"/>
        </w:rPr>
        <w:t>.</w:t>
      </w:r>
    </w:p>
    <w:p w:rsidR="00EC0DB4" w:rsidRPr="00FA6FE3" w:rsidRDefault="00EC0DB4" w:rsidP="00FA6FE3">
      <w:pPr>
        <w:spacing w:after="120" w:line="360" w:lineRule="auto"/>
        <w:jc w:val="both"/>
        <w:rPr>
          <w:rFonts w:ascii="Arial" w:hAnsi="Arial" w:cs="Arial"/>
          <w:sz w:val="24"/>
          <w:szCs w:val="24"/>
        </w:rPr>
      </w:pPr>
      <w:r w:rsidRPr="00FA6FE3">
        <w:rPr>
          <w:rFonts w:ascii="Arial" w:hAnsi="Arial" w:cs="Arial"/>
          <w:sz w:val="24"/>
          <w:szCs w:val="24"/>
        </w:rPr>
        <w:t>La profesora principal ha establecido una serie de enlaces a toda la obra de su autoría, la cual está publicada en Infomed</w:t>
      </w:r>
      <w:r w:rsidR="004618C8">
        <w:rPr>
          <w:rFonts w:ascii="Arial" w:hAnsi="Arial" w:cs="Arial"/>
          <w:sz w:val="24"/>
          <w:szCs w:val="24"/>
        </w:rPr>
        <w:t xml:space="preserve"> y</w:t>
      </w:r>
      <w:r w:rsidRPr="00FA6FE3">
        <w:rPr>
          <w:rFonts w:ascii="Arial" w:hAnsi="Arial" w:cs="Arial"/>
          <w:sz w:val="24"/>
          <w:szCs w:val="24"/>
        </w:rPr>
        <w:t xml:space="preserve"> facilitará la obtención de una bibliografía actualizada y específica sobre el tema, que además incluye el criterio de otros autores.</w:t>
      </w:r>
    </w:p>
    <w:p w:rsidR="00EC0DB4" w:rsidRPr="00FA6FE3" w:rsidRDefault="00EC0DB4" w:rsidP="00FA6FE3">
      <w:pPr>
        <w:spacing w:after="120" w:line="360" w:lineRule="auto"/>
        <w:jc w:val="both"/>
        <w:rPr>
          <w:rFonts w:ascii="Arial" w:hAnsi="Arial" w:cs="Arial"/>
          <w:sz w:val="24"/>
          <w:szCs w:val="24"/>
        </w:rPr>
      </w:pPr>
      <w:r w:rsidRPr="00FA6FE3">
        <w:rPr>
          <w:rFonts w:ascii="Arial" w:hAnsi="Arial" w:cs="Arial"/>
          <w:sz w:val="24"/>
          <w:szCs w:val="24"/>
        </w:rPr>
        <w:t>La evaluación se efectuará por temas a través de foros interactivos y cuestionarios evaluativos, con las siguientes modalidades: preguntas, asociación de columnas y  verdaderos/falsos.</w:t>
      </w:r>
    </w:p>
    <w:p w:rsidR="00FA6FE3" w:rsidRDefault="00FA6FE3" w:rsidP="00FA6FE3">
      <w:pPr>
        <w:spacing w:after="120" w:line="360" w:lineRule="auto"/>
        <w:jc w:val="both"/>
        <w:rPr>
          <w:rFonts w:ascii="Arial" w:hAnsi="Arial" w:cs="Arial"/>
          <w:sz w:val="24"/>
          <w:szCs w:val="24"/>
        </w:rPr>
      </w:pPr>
    </w:p>
    <w:p w:rsidR="00FA6FE3" w:rsidRPr="00FA6FE3" w:rsidRDefault="00FA6FE3" w:rsidP="00FA6FE3">
      <w:pPr>
        <w:spacing w:after="120" w:line="360" w:lineRule="auto"/>
        <w:jc w:val="both"/>
        <w:rPr>
          <w:rFonts w:ascii="Arial" w:hAnsi="Arial" w:cs="Arial"/>
          <w:b/>
          <w:sz w:val="24"/>
          <w:szCs w:val="24"/>
        </w:rPr>
      </w:pPr>
      <w:r w:rsidRPr="00FA6FE3">
        <w:rPr>
          <w:rFonts w:ascii="Arial" w:hAnsi="Arial" w:cs="Arial"/>
          <w:b/>
          <w:sz w:val="24"/>
          <w:szCs w:val="24"/>
        </w:rPr>
        <w:lastRenderedPageBreak/>
        <w:t>SISTEMA DE EVALUACIÓN</w:t>
      </w:r>
    </w:p>
    <w:p w:rsidR="00FA6FE3" w:rsidRPr="00FA6FE3" w:rsidRDefault="00FA6FE3" w:rsidP="00FA6FE3">
      <w:pPr>
        <w:spacing w:after="120" w:line="360" w:lineRule="auto"/>
        <w:jc w:val="both"/>
        <w:rPr>
          <w:rFonts w:ascii="Arial" w:hAnsi="Arial" w:cs="Arial"/>
          <w:sz w:val="24"/>
          <w:szCs w:val="24"/>
        </w:rPr>
      </w:pPr>
      <w:r w:rsidRPr="00FA6FE3">
        <w:rPr>
          <w:rFonts w:ascii="Arial" w:hAnsi="Arial" w:cs="Arial"/>
          <w:sz w:val="24"/>
          <w:szCs w:val="24"/>
          <w:u w:val="single"/>
        </w:rPr>
        <w:t>Evaluación formativa</w:t>
      </w:r>
      <w:r w:rsidRPr="00FA6FE3">
        <w:rPr>
          <w:rFonts w:ascii="Arial" w:hAnsi="Arial" w:cs="Arial"/>
          <w:sz w:val="24"/>
          <w:szCs w:val="24"/>
        </w:rPr>
        <w:t xml:space="preserve">: Se basa en actividades que se desarrollan sistemáticamente en cada uno de los temas. Tiene un valor de 60 puntos. Para resultar aprobado se deberá acumular no menos de 40 puntos o sea el 70%. </w:t>
      </w:r>
    </w:p>
    <w:p w:rsidR="00FA6FE3" w:rsidRPr="00FA6FE3" w:rsidRDefault="00FA6FE3" w:rsidP="00FA6FE3">
      <w:pPr>
        <w:spacing w:after="120" w:line="360" w:lineRule="auto"/>
        <w:jc w:val="both"/>
        <w:rPr>
          <w:rFonts w:ascii="Arial" w:hAnsi="Arial" w:cs="Arial"/>
          <w:sz w:val="24"/>
          <w:szCs w:val="24"/>
        </w:rPr>
      </w:pPr>
      <w:r w:rsidRPr="00FA6FE3">
        <w:rPr>
          <w:rFonts w:ascii="Arial" w:hAnsi="Arial" w:cs="Arial"/>
          <w:sz w:val="24"/>
          <w:szCs w:val="24"/>
          <w:u w:val="single"/>
        </w:rPr>
        <w:t>Evaluación final</w:t>
      </w:r>
      <w:r w:rsidRPr="00FA6FE3">
        <w:rPr>
          <w:rFonts w:ascii="Arial" w:hAnsi="Arial" w:cs="Arial"/>
          <w:sz w:val="24"/>
          <w:szCs w:val="24"/>
        </w:rPr>
        <w:t>: El examen final será a través de un foro participativo e integrador de los conocimientos adquiridos y los profesores podrán evaluar la habilidad de los cursistas para enfrentarse a un caso clínico y emitir su criterio sobre el diagnóstico y las posibles alternativas terapéuticas del referido paciente.</w:t>
      </w:r>
      <w:r>
        <w:rPr>
          <w:rFonts w:ascii="Arial" w:hAnsi="Arial" w:cs="Arial"/>
          <w:sz w:val="24"/>
          <w:szCs w:val="24"/>
        </w:rPr>
        <w:t xml:space="preserve"> </w:t>
      </w:r>
      <w:r w:rsidRPr="00FA6FE3">
        <w:rPr>
          <w:rFonts w:ascii="Arial" w:hAnsi="Arial" w:cs="Arial"/>
          <w:sz w:val="24"/>
          <w:szCs w:val="24"/>
        </w:rPr>
        <w:t xml:space="preserve">Tiene un valor de 40 puntos. Para considerarse aprobado deberá acumular no menos de 28 puntos o sea el 70%. </w:t>
      </w:r>
    </w:p>
    <w:p w:rsidR="00FA6FE3" w:rsidRPr="00FA6FE3" w:rsidRDefault="00FA6FE3" w:rsidP="00FA6FE3">
      <w:pPr>
        <w:spacing w:after="120" w:line="360" w:lineRule="auto"/>
        <w:jc w:val="both"/>
        <w:rPr>
          <w:rFonts w:ascii="Arial" w:hAnsi="Arial" w:cs="Arial"/>
          <w:sz w:val="24"/>
          <w:szCs w:val="24"/>
        </w:rPr>
      </w:pPr>
      <w:r w:rsidRPr="00FA6FE3">
        <w:rPr>
          <w:rFonts w:ascii="Arial" w:hAnsi="Arial" w:cs="Arial"/>
          <w:sz w:val="24"/>
          <w:szCs w:val="24"/>
        </w:rPr>
        <w:t>Al concluir el curso se otorgará el certificado correspondiente.  La calificación será integral y cualitativa: Excelente, Bien, Aprobado o Desaprobado.</w:t>
      </w:r>
    </w:p>
    <w:p w:rsidR="00FA6FE3" w:rsidRPr="00FA6FE3" w:rsidRDefault="00FA6FE3" w:rsidP="00FA6FE3">
      <w:pPr>
        <w:spacing w:after="120" w:line="360" w:lineRule="auto"/>
        <w:jc w:val="both"/>
        <w:rPr>
          <w:rFonts w:ascii="Arial" w:hAnsi="Arial" w:cs="Arial"/>
          <w:sz w:val="24"/>
          <w:szCs w:val="24"/>
        </w:rPr>
      </w:pPr>
      <w:r w:rsidRPr="00FA6FE3">
        <w:rPr>
          <w:rFonts w:ascii="Arial" w:hAnsi="Arial" w:cs="Arial"/>
          <w:sz w:val="24"/>
          <w:szCs w:val="24"/>
        </w:rPr>
        <w:t>El resultado final se expresará cualitativamente en el informe final como:</w:t>
      </w:r>
    </w:p>
    <w:p w:rsidR="00FA6FE3" w:rsidRPr="00FA6FE3" w:rsidRDefault="00FA6FE3" w:rsidP="00FA6FE3">
      <w:pPr>
        <w:pStyle w:val="ListParagraph"/>
        <w:numPr>
          <w:ilvl w:val="0"/>
          <w:numId w:val="2"/>
        </w:numPr>
        <w:spacing w:after="120" w:line="360" w:lineRule="auto"/>
        <w:jc w:val="both"/>
        <w:rPr>
          <w:rFonts w:ascii="Arial" w:hAnsi="Arial" w:cs="Arial"/>
          <w:sz w:val="24"/>
          <w:szCs w:val="24"/>
        </w:rPr>
      </w:pPr>
      <w:r w:rsidRPr="00FA6FE3">
        <w:rPr>
          <w:rFonts w:ascii="Arial" w:hAnsi="Arial" w:cs="Arial"/>
          <w:sz w:val="24"/>
          <w:szCs w:val="24"/>
        </w:rPr>
        <w:t>69 puntos y menos: desaprobado.</w:t>
      </w:r>
    </w:p>
    <w:p w:rsidR="00FA6FE3" w:rsidRPr="00FA6FE3" w:rsidRDefault="00FA6FE3" w:rsidP="00FA6FE3">
      <w:pPr>
        <w:pStyle w:val="ListParagraph"/>
        <w:numPr>
          <w:ilvl w:val="0"/>
          <w:numId w:val="2"/>
        </w:numPr>
        <w:spacing w:after="120" w:line="360" w:lineRule="auto"/>
        <w:jc w:val="both"/>
        <w:rPr>
          <w:rFonts w:ascii="Arial" w:hAnsi="Arial" w:cs="Arial"/>
          <w:sz w:val="24"/>
          <w:szCs w:val="24"/>
        </w:rPr>
      </w:pPr>
      <w:r w:rsidRPr="00FA6FE3">
        <w:rPr>
          <w:rFonts w:ascii="Arial" w:hAnsi="Arial" w:cs="Arial"/>
          <w:sz w:val="24"/>
          <w:szCs w:val="24"/>
        </w:rPr>
        <w:t>70-79: aprobado.</w:t>
      </w:r>
    </w:p>
    <w:p w:rsidR="00FA6FE3" w:rsidRPr="00FA6FE3" w:rsidRDefault="00FA6FE3" w:rsidP="00FA6FE3">
      <w:pPr>
        <w:pStyle w:val="ListParagraph"/>
        <w:numPr>
          <w:ilvl w:val="0"/>
          <w:numId w:val="2"/>
        </w:numPr>
        <w:spacing w:after="120" w:line="360" w:lineRule="auto"/>
        <w:jc w:val="both"/>
        <w:rPr>
          <w:rFonts w:ascii="Arial" w:hAnsi="Arial" w:cs="Arial"/>
          <w:sz w:val="24"/>
          <w:szCs w:val="24"/>
        </w:rPr>
      </w:pPr>
      <w:r w:rsidRPr="00FA6FE3">
        <w:rPr>
          <w:rFonts w:ascii="Arial" w:hAnsi="Arial" w:cs="Arial"/>
          <w:sz w:val="24"/>
          <w:szCs w:val="24"/>
        </w:rPr>
        <w:t>80-89: bien.</w:t>
      </w:r>
    </w:p>
    <w:p w:rsidR="00FA6FE3" w:rsidRDefault="00FA6FE3" w:rsidP="00FA6FE3">
      <w:pPr>
        <w:pStyle w:val="ListParagraph"/>
        <w:numPr>
          <w:ilvl w:val="0"/>
          <w:numId w:val="2"/>
        </w:numPr>
        <w:spacing w:after="120" w:line="360" w:lineRule="auto"/>
        <w:jc w:val="both"/>
        <w:rPr>
          <w:rFonts w:ascii="Arial" w:hAnsi="Arial" w:cs="Arial"/>
          <w:sz w:val="24"/>
          <w:szCs w:val="24"/>
        </w:rPr>
      </w:pPr>
      <w:r w:rsidRPr="00FA6FE3">
        <w:rPr>
          <w:rFonts w:ascii="Arial" w:hAnsi="Arial" w:cs="Arial"/>
          <w:sz w:val="24"/>
          <w:szCs w:val="24"/>
        </w:rPr>
        <w:t>90-100: excelente</w:t>
      </w:r>
    </w:p>
    <w:p w:rsidR="00FA6FE3" w:rsidRDefault="00FA6FE3" w:rsidP="00FA6FE3">
      <w:pPr>
        <w:spacing w:after="120" w:line="360" w:lineRule="auto"/>
        <w:jc w:val="both"/>
        <w:rPr>
          <w:rFonts w:ascii="Arial" w:hAnsi="Arial" w:cs="Arial"/>
          <w:b/>
          <w:sz w:val="24"/>
          <w:szCs w:val="24"/>
        </w:rPr>
      </w:pPr>
    </w:p>
    <w:p w:rsidR="00FA6FE3" w:rsidRPr="00FA6FE3" w:rsidRDefault="00FA6FE3" w:rsidP="00FA6FE3">
      <w:pPr>
        <w:spacing w:after="120" w:line="360" w:lineRule="auto"/>
        <w:jc w:val="both"/>
        <w:rPr>
          <w:rFonts w:ascii="Arial" w:hAnsi="Arial" w:cs="Arial"/>
          <w:sz w:val="24"/>
          <w:szCs w:val="24"/>
        </w:rPr>
      </w:pPr>
      <w:r w:rsidRPr="00FA6FE3">
        <w:rPr>
          <w:rFonts w:ascii="Arial" w:hAnsi="Arial" w:cs="Arial"/>
          <w:b/>
          <w:sz w:val="24"/>
          <w:szCs w:val="24"/>
        </w:rPr>
        <w:t>Cronograma.</w:t>
      </w:r>
      <w:r w:rsidRPr="00FA6FE3">
        <w:rPr>
          <w:rFonts w:ascii="Arial" w:hAnsi="Arial" w:cs="Arial"/>
          <w:sz w:val="24"/>
          <w:szCs w:val="24"/>
        </w:rPr>
        <w:t xml:space="preserve"> Ver cuadro con las actividades programadas.</w:t>
      </w:r>
    </w:p>
    <w:p w:rsidR="00613FB3" w:rsidRDefault="00613FB3">
      <w:pPr>
        <w:rPr>
          <w:rFonts w:ascii="Arial" w:hAnsi="Arial" w:cs="Arial"/>
          <w:sz w:val="24"/>
          <w:szCs w:val="24"/>
        </w:rPr>
      </w:pPr>
      <w:r>
        <w:rPr>
          <w:rFonts w:ascii="Arial" w:hAnsi="Arial" w:cs="Arial"/>
          <w:sz w:val="24"/>
          <w:szCs w:val="24"/>
        </w:rPr>
        <w:br w:type="page"/>
      </w:r>
    </w:p>
    <w:p w:rsidR="00613FB3" w:rsidRPr="00136C93" w:rsidRDefault="00613FB3" w:rsidP="00613FB3">
      <w:pPr>
        <w:pStyle w:val="ListParagraph"/>
        <w:spacing w:line="240" w:lineRule="auto"/>
        <w:ind w:left="786"/>
        <w:jc w:val="center"/>
        <w:rPr>
          <w:rFonts w:ascii="Arial" w:hAnsi="Arial" w:cs="Arial"/>
          <w:b/>
          <w:bCs/>
          <w:sz w:val="24"/>
          <w:szCs w:val="24"/>
        </w:rPr>
      </w:pPr>
      <w:r w:rsidRPr="00136C93">
        <w:rPr>
          <w:rFonts w:ascii="Arial" w:hAnsi="Arial" w:cs="Arial"/>
          <w:b/>
          <w:bCs/>
          <w:sz w:val="24"/>
          <w:szCs w:val="24"/>
        </w:rPr>
        <w:lastRenderedPageBreak/>
        <w:t>Bibliografía</w:t>
      </w:r>
    </w:p>
    <w:p w:rsidR="004618C8" w:rsidRDefault="004618C8" w:rsidP="004618C8">
      <w:pPr>
        <w:pStyle w:val="Prrafodelista1"/>
        <w:ind w:left="643" w:right="-27"/>
        <w:jc w:val="both"/>
        <w:rPr>
          <w:rFonts w:ascii="Arial" w:hAnsi="Arial" w:cs="Arial"/>
        </w:rPr>
      </w:pPr>
    </w:p>
    <w:p w:rsidR="00613FB3" w:rsidRPr="00AC4FD9" w:rsidRDefault="00613FB3" w:rsidP="004618C8">
      <w:pPr>
        <w:pStyle w:val="Prrafodelista1"/>
        <w:numPr>
          <w:ilvl w:val="0"/>
          <w:numId w:val="4"/>
        </w:numPr>
        <w:spacing w:line="360" w:lineRule="auto"/>
        <w:ind w:right="-27"/>
        <w:jc w:val="both"/>
        <w:rPr>
          <w:rFonts w:ascii="Arial" w:hAnsi="Arial" w:cs="Arial"/>
        </w:rPr>
      </w:pPr>
      <w:r w:rsidRPr="000F0D32">
        <w:rPr>
          <w:rFonts w:ascii="Arial" w:hAnsi="Arial" w:cs="Arial"/>
        </w:rPr>
        <w:t>Cáceres M, Pérez R. Variantes terapéuticas del estrabismo restrictivo. Revista Cubana de Oftalmología 2009</w:t>
      </w:r>
      <w:proofErr w:type="gramStart"/>
      <w:r w:rsidRPr="000F0D32">
        <w:rPr>
          <w:rFonts w:ascii="Arial" w:hAnsi="Arial" w:cs="Arial"/>
        </w:rPr>
        <w:t>;22</w:t>
      </w:r>
      <w:proofErr w:type="gramEnd"/>
      <w:r w:rsidRPr="000F0D32">
        <w:rPr>
          <w:rFonts w:ascii="Arial" w:hAnsi="Arial" w:cs="Arial"/>
        </w:rPr>
        <w:t>(2).</w:t>
      </w:r>
    </w:p>
    <w:p w:rsidR="00613FB3" w:rsidRPr="000F0D32" w:rsidRDefault="00613FB3" w:rsidP="004618C8">
      <w:pPr>
        <w:pStyle w:val="Prrafodelista1"/>
        <w:numPr>
          <w:ilvl w:val="0"/>
          <w:numId w:val="4"/>
        </w:numPr>
        <w:spacing w:line="360" w:lineRule="auto"/>
        <w:ind w:right="-27"/>
        <w:jc w:val="both"/>
        <w:rPr>
          <w:rFonts w:ascii="Arial" w:hAnsi="Arial" w:cs="Arial"/>
          <w:lang w:val="en-GB"/>
        </w:rPr>
      </w:pPr>
      <w:r w:rsidRPr="000F0D32">
        <w:rPr>
          <w:rFonts w:ascii="Arial" w:hAnsi="Arial" w:cs="Arial"/>
        </w:rPr>
        <w:t>Cáceres M, Marqués M, Cáceres O. Toxina botulínica A versus cirugía en la retracción palpebral de la Orbitopatía Tiroidea. Revista Cubana de Oftalmología 2010</w:t>
      </w:r>
      <w:proofErr w:type="gramStart"/>
      <w:r w:rsidRPr="000F0D32">
        <w:rPr>
          <w:rFonts w:ascii="Arial" w:hAnsi="Arial" w:cs="Arial"/>
        </w:rPr>
        <w:t>;23</w:t>
      </w:r>
      <w:proofErr w:type="gramEnd"/>
      <w:r w:rsidRPr="000F0D32">
        <w:rPr>
          <w:rFonts w:ascii="Arial" w:hAnsi="Arial" w:cs="Arial"/>
        </w:rPr>
        <w:t>(2).ISSN 0864-2176.</w:t>
      </w:r>
    </w:p>
    <w:p w:rsidR="00613FB3" w:rsidRDefault="00613FB3" w:rsidP="004618C8">
      <w:pPr>
        <w:pStyle w:val="Prrafodelista1"/>
        <w:numPr>
          <w:ilvl w:val="0"/>
          <w:numId w:val="4"/>
        </w:numPr>
        <w:spacing w:line="360" w:lineRule="auto"/>
        <w:ind w:right="-27"/>
        <w:jc w:val="both"/>
        <w:rPr>
          <w:rFonts w:ascii="Arial" w:hAnsi="Arial" w:cs="Arial"/>
          <w:lang w:val="en-GB"/>
        </w:rPr>
      </w:pPr>
      <w:r w:rsidRPr="000F0D32">
        <w:rPr>
          <w:rFonts w:ascii="Arial" w:hAnsi="Arial" w:cs="Arial"/>
        </w:rPr>
        <w:t xml:space="preserve">Cáceres M, Marqués M, Cáceres O. Toxina botulínica versus cirugía en el estrabismo restrictivo. </w:t>
      </w:r>
      <w:proofErr w:type="spellStart"/>
      <w:r w:rsidRPr="000F0D32">
        <w:rPr>
          <w:rFonts w:ascii="Arial" w:hAnsi="Arial" w:cs="Arial"/>
          <w:lang w:val="en-GB"/>
        </w:rPr>
        <w:t>Revista</w:t>
      </w:r>
      <w:proofErr w:type="spellEnd"/>
      <w:r w:rsidRPr="000F0D32">
        <w:rPr>
          <w:rFonts w:ascii="Arial" w:hAnsi="Arial" w:cs="Arial"/>
          <w:lang w:val="en-GB"/>
        </w:rPr>
        <w:t xml:space="preserve"> </w:t>
      </w:r>
      <w:proofErr w:type="spellStart"/>
      <w:r w:rsidRPr="000F0D32">
        <w:rPr>
          <w:rFonts w:ascii="Arial" w:hAnsi="Arial" w:cs="Arial"/>
          <w:lang w:val="en-GB"/>
        </w:rPr>
        <w:t>Cubana</w:t>
      </w:r>
      <w:proofErr w:type="spellEnd"/>
      <w:r w:rsidRPr="000F0D32">
        <w:rPr>
          <w:rFonts w:ascii="Arial" w:hAnsi="Arial" w:cs="Arial"/>
          <w:lang w:val="en-GB"/>
        </w:rPr>
        <w:t xml:space="preserve"> de </w:t>
      </w:r>
      <w:proofErr w:type="spellStart"/>
      <w:r w:rsidRPr="000F0D32">
        <w:rPr>
          <w:rFonts w:ascii="Arial" w:hAnsi="Arial" w:cs="Arial"/>
          <w:lang w:val="en-GB"/>
        </w:rPr>
        <w:t>Oftalmología</w:t>
      </w:r>
      <w:proofErr w:type="spellEnd"/>
      <w:r w:rsidRPr="000F0D32">
        <w:rPr>
          <w:rFonts w:ascii="Arial" w:hAnsi="Arial" w:cs="Arial"/>
          <w:lang w:val="en-GB"/>
        </w:rPr>
        <w:t xml:space="preserve"> 2008</w:t>
      </w:r>
      <w:proofErr w:type="gramStart"/>
      <w:r w:rsidRPr="000F0D32">
        <w:rPr>
          <w:rFonts w:ascii="Arial" w:hAnsi="Arial" w:cs="Arial"/>
          <w:lang w:val="en-GB"/>
        </w:rPr>
        <w:t>;23</w:t>
      </w:r>
      <w:proofErr w:type="gramEnd"/>
      <w:r w:rsidRPr="000F0D32">
        <w:rPr>
          <w:rFonts w:ascii="Arial" w:hAnsi="Arial" w:cs="Arial"/>
          <w:lang w:val="en-GB"/>
        </w:rPr>
        <w:t xml:space="preserve">(1). </w:t>
      </w:r>
    </w:p>
    <w:p w:rsidR="00613FB3" w:rsidRPr="00F84F4F" w:rsidRDefault="00613FB3" w:rsidP="004618C8">
      <w:pPr>
        <w:pStyle w:val="Prrafodelista1"/>
        <w:numPr>
          <w:ilvl w:val="0"/>
          <w:numId w:val="4"/>
        </w:numPr>
        <w:spacing w:line="360" w:lineRule="auto"/>
        <w:ind w:right="-27"/>
        <w:jc w:val="both"/>
        <w:rPr>
          <w:rFonts w:ascii="Arial" w:hAnsi="Arial" w:cs="Arial"/>
        </w:rPr>
      </w:pPr>
      <w:r w:rsidRPr="00F84F4F">
        <w:rPr>
          <w:rFonts w:ascii="Arial" w:hAnsi="Arial" w:cs="Arial"/>
        </w:rPr>
        <w:t xml:space="preserve">Río M, Capote A, Hernández J, </w:t>
      </w:r>
      <w:proofErr w:type="spellStart"/>
      <w:r w:rsidRPr="00F84F4F">
        <w:rPr>
          <w:rFonts w:ascii="Arial" w:hAnsi="Arial" w:cs="Arial"/>
        </w:rPr>
        <w:t>Eguía</w:t>
      </w:r>
      <w:proofErr w:type="spellEnd"/>
      <w:r w:rsidRPr="00F84F4F">
        <w:rPr>
          <w:rFonts w:ascii="Arial" w:hAnsi="Arial" w:cs="Arial"/>
        </w:rPr>
        <w:t xml:space="preserve"> F, Padilla.  Criterios y Tendencias Actuales. Primera edición. La Habana. Editorial Ciencias Médicas 2009: 521-33.</w:t>
      </w:r>
    </w:p>
    <w:p w:rsidR="00613FB3" w:rsidRPr="00F56C90" w:rsidRDefault="00613FB3" w:rsidP="004618C8">
      <w:pPr>
        <w:pStyle w:val="Prrafodelista1"/>
        <w:numPr>
          <w:ilvl w:val="0"/>
          <w:numId w:val="4"/>
        </w:numPr>
        <w:spacing w:line="360" w:lineRule="auto"/>
        <w:ind w:right="-27"/>
        <w:jc w:val="both"/>
        <w:rPr>
          <w:rFonts w:ascii="Arial" w:hAnsi="Arial" w:cs="Arial"/>
          <w:lang w:val="pt-BR"/>
        </w:rPr>
      </w:pPr>
      <w:r w:rsidRPr="00613FB3">
        <w:rPr>
          <w:rFonts w:ascii="Arial" w:hAnsi="Arial" w:cs="Arial"/>
          <w:lang w:val="en-US"/>
        </w:rPr>
        <w:t>Rowe</w:t>
      </w:r>
      <w:r w:rsidRPr="00F56C90">
        <w:rPr>
          <w:rFonts w:ascii="Arial" w:hAnsi="Arial" w:cs="Arial"/>
          <w:lang w:val="en-US"/>
        </w:rPr>
        <w:t xml:space="preserve"> F, Noonan C. </w:t>
      </w:r>
      <w:proofErr w:type="spellStart"/>
      <w:r w:rsidRPr="00F56C90">
        <w:rPr>
          <w:rFonts w:ascii="Arial" w:hAnsi="Arial" w:cs="Arial"/>
          <w:lang w:val="en-US"/>
        </w:rPr>
        <w:t>Batra</w:t>
      </w:r>
      <w:proofErr w:type="spellEnd"/>
      <w:r w:rsidRPr="00F56C90">
        <w:rPr>
          <w:rFonts w:ascii="Arial" w:hAnsi="Arial" w:cs="Arial"/>
          <w:lang w:val="en-US"/>
        </w:rPr>
        <w:t xml:space="preserve"> R. Dose Effect of </w:t>
      </w:r>
      <w:proofErr w:type="spellStart"/>
      <w:r w:rsidRPr="00F56C90">
        <w:rPr>
          <w:rFonts w:ascii="Arial" w:hAnsi="Arial" w:cs="Arial"/>
          <w:lang w:val="en-US"/>
        </w:rPr>
        <w:t>Botulinum</w:t>
      </w:r>
      <w:proofErr w:type="spellEnd"/>
      <w:r w:rsidRPr="00F56C90">
        <w:rPr>
          <w:rFonts w:ascii="Arial" w:hAnsi="Arial" w:cs="Arial"/>
          <w:lang w:val="en-US"/>
        </w:rPr>
        <w:t xml:space="preserve"> Toxin A in </w:t>
      </w:r>
      <w:proofErr w:type="spellStart"/>
      <w:r w:rsidRPr="00F56C90">
        <w:rPr>
          <w:rFonts w:ascii="Arial" w:hAnsi="Arial" w:cs="Arial"/>
          <w:lang w:val="en-US"/>
        </w:rPr>
        <w:t>Heterotropia</w:t>
      </w:r>
      <w:proofErr w:type="spellEnd"/>
      <w:r w:rsidRPr="00F56C90">
        <w:rPr>
          <w:rFonts w:ascii="Arial" w:hAnsi="Arial" w:cs="Arial"/>
          <w:lang w:val="en-US"/>
        </w:rPr>
        <w:t xml:space="preserve"> and </w:t>
      </w:r>
      <w:proofErr w:type="spellStart"/>
      <w:r w:rsidRPr="00F56C90">
        <w:rPr>
          <w:rFonts w:ascii="Arial" w:hAnsi="Arial" w:cs="Arial"/>
          <w:lang w:val="en-US"/>
        </w:rPr>
        <w:t>Heterophoria</w:t>
      </w:r>
      <w:proofErr w:type="spellEnd"/>
      <w:r w:rsidRPr="00F56C90">
        <w:rPr>
          <w:rFonts w:ascii="Arial" w:hAnsi="Arial" w:cs="Arial"/>
          <w:lang w:val="en-US"/>
        </w:rPr>
        <w:t>. Strabismus 2010:3-7.</w:t>
      </w:r>
    </w:p>
    <w:p w:rsidR="00613FB3" w:rsidRPr="00F56C90" w:rsidRDefault="00613FB3" w:rsidP="004618C8">
      <w:pPr>
        <w:pStyle w:val="Prrafodelista1"/>
        <w:numPr>
          <w:ilvl w:val="0"/>
          <w:numId w:val="4"/>
        </w:numPr>
        <w:spacing w:line="360" w:lineRule="auto"/>
        <w:ind w:right="-27"/>
        <w:jc w:val="both"/>
        <w:rPr>
          <w:rFonts w:ascii="Arial" w:hAnsi="Arial" w:cs="Arial"/>
          <w:lang w:val="pt-BR"/>
        </w:rPr>
      </w:pPr>
      <w:r w:rsidRPr="00F56C90">
        <w:rPr>
          <w:rFonts w:ascii="Arial" w:hAnsi="Arial" w:cs="Arial"/>
          <w:lang w:val="en-US"/>
        </w:rPr>
        <w:t xml:space="preserve">Scott A, Miller J, Shieh K. Treating strabismus by injecting the agonist muscle with bupivacaine ad the antagonist with </w:t>
      </w:r>
      <w:proofErr w:type="spellStart"/>
      <w:r w:rsidRPr="00F56C90">
        <w:rPr>
          <w:rFonts w:ascii="Arial" w:hAnsi="Arial" w:cs="Arial"/>
          <w:lang w:val="en-US"/>
        </w:rPr>
        <w:t>Botulinum</w:t>
      </w:r>
      <w:proofErr w:type="spellEnd"/>
      <w:r w:rsidRPr="00F56C90">
        <w:rPr>
          <w:rFonts w:ascii="Arial" w:hAnsi="Arial" w:cs="Arial"/>
          <w:lang w:val="en-US"/>
        </w:rPr>
        <w:t xml:space="preserve"> Toxin. Trans Am </w:t>
      </w:r>
      <w:proofErr w:type="spellStart"/>
      <w:r w:rsidRPr="00F56C90">
        <w:rPr>
          <w:rFonts w:ascii="Arial" w:hAnsi="Arial" w:cs="Arial"/>
          <w:lang w:val="en-US"/>
        </w:rPr>
        <w:t>Ophthalmol</w:t>
      </w:r>
      <w:proofErr w:type="spellEnd"/>
      <w:r w:rsidRPr="00F56C90">
        <w:rPr>
          <w:rFonts w:ascii="Arial" w:hAnsi="Arial" w:cs="Arial"/>
          <w:lang w:val="en-US"/>
        </w:rPr>
        <w:t xml:space="preserve"> </w:t>
      </w:r>
      <w:proofErr w:type="spellStart"/>
      <w:r w:rsidRPr="00F56C90">
        <w:rPr>
          <w:rFonts w:ascii="Arial" w:hAnsi="Arial" w:cs="Arial"/>
          <w:lang w:val="en-US"/>
        </w:rPr>
        <w:t>Soc</w:t>
      </w:r>
      <w:proofErr w:type="spellEnd"/>
      <w:r w:rsidRPr="00F56C90">
        <w:rPr>
          <w:rFonts w:ascii="Arial" w:hAnsi="Arial" w:cs="Arial"/>
          <w:lang w:val="en-US"/>
        </w:rPr>
        <w:t xml:space="preserve"> 2009:104-11.</w:t>
      </w:r>
    </w:p>
    <w:p w:rsidR="00864EB5" w:rsidRDefault="00613FB3" w:rsidP="004618C8">
      <w:pPr>
        <w:pStyle w:val="Prrafodelista1"/>
        <w:numPr>
          <w:ilvl w:val="0"/>
          <w:numId w:val="4"/>
        </w:numPr>
        <w:spacing w:after="120" w:line="360" w:lineRule="auto"/>
        <w:ind w:left="641" w:right="-28" w:hanging="357"/>
        <w:jc w:val="both"/>
        <w:rPr>
          <w:rFonts w:ascii="Arial" w:hAnsi="Arial" w:cs="Arial"/>
          <w:lang w:val="en-US"/>
        </w:rPr>
      </w:pPr>
      <w:proofErr w:type="spellStart"/>
      <w:r w:rsidRPr="00613FB3">
        <w:rPr>
          <w:rFonts w:ascii="Arial" w:hAnsi="Arial" w:cs="Arial"/>
          <w:lang w:val="en-US"/>
        </w:rPr>
        <w:t>Campomanes</w:t>
      </w:r>
      <w:proofErr w:type="spellEnd"/>
      <w:r w:rsidRPr="00613FB3">
        <w:rPr>
          <w:rFonts w:ascii="Arial" w:hAnsi="Arial" w:cs="Arial"/>
          <w:lang w:val="en-US"/>
        </w:rPr>
        <w:t xml:space="preserve"> A, </w:t>
      </w:r>
      <w:proofErr w:type="spellStart"/>
      <w:r w:rsidRPr="00613FB3">
        <w:rPr>
          <w:rFonts w:ascii="Arial" w:hAnsi="Arial" w:cs="Arial"/>
          <w:lang w:val="en-US"/>
        </w:rPr>
        <w:t>Binenbaum</w:t>
      </w:r>
      <w:proofErr w:type="spellEnd"/>
      <w:r w:rsidRPr="00613FB3">
        <w:rPr>
          <w:rFonts w:ascii="Arial" w:hAnsi="Arial" w:cs="Arial"/>
          <w:lang w:val="en-US"/>
        </w:rPr>
        <w:t xml:space="preserve"> G, </w:t>
      </w:r>
      <w:proofErr w:type="spellStart"/>
      <w:r w:rsidRPr="00613FB3">
        <w:rPr>
          <w:rFonts w:ascii="Arial" w:hAnsi="Arial" w:cs="Arial"/>
          <w:lang w:val="en-US"/>
        </w:rPr>
        <w:t>Eguiarte</w:t>
      </w:r>
      <w:proofErr w:type="spellEnd"/>
      <w:r w:rsidRPr="00613FB3">
        <w:rPr>
          <w:rFonts w:ascii="Arial" w:hAnsi="Arial" w:cs="Arial"/>
          <w:lang w:val="en-US"/>
        </w:rPr>
        <w:t xml:space="preserve"> G. Comparison of </w:t>
      </w:r>
      <w:proofErr w:type="spellStart"/>
      <w:r w:rsidRPr="00613FB3">
        <w:rPr>
          <w:rFonts w:ascii="Arial" w:hAnsi="Arial" w:cs="Arial"/>
          <w:lang w:val="en-US"/>
        </w:rPr>
        <w:t>botulinum</w:t>
      </w:r>
      <w:proofErr w:type="spellEnd"/>
      <w:r w:rsidRPr="00613FB3">
        <w:rPr>
          <w:rFonts w:ascii="Arial" w:hAnsi="Arial" w:cs="Arial"/>
          <w:lang w:val="en-US"/>
        </w:rPr>
        <w:t xml:space="preserve"> toxin with surgery as primary treatment for infantile </w:t>
      </w:r>
      <w:proofErr w:type="spellStart"/>
      <w:r w:rsidRPr="00613FB3">
        <w:rPr>
          <w:rFonts w:ascii="Arial" w:hAnsi="Arial" w:cs="Arial"/>
          <w:lang w:val="en-US"/>
        </w:rPr>
        <w:t>esotropia</w:t>
      </w:r>
      <w:proofErr w:type="spellEnd"/>
      <w:r w:rsidRPr="00613FB3">
        <w:rPr>
          <w:rFonts w:ascii="Arial" w:hAnsi="Arial" w:cs="Arial"/>
          <w:lang w:val="en-US"/>
        </w:rPr>
        <w:t>. J AAPOS 2010:111-6.</w:t>
      </w:r>
    </w:p>
    <w:p w:rsidR="00CF62C1" w:rsidRPr="00CF62C1" w:rsidRDefault="00CF62C1" w:rsidP="004618C8">
      <w:pPr>
        <w:pStyle w:val="Prrafodelista1"/>
        <w:numPr>
          <w:ilvl w:val="0"/>
          <w:numId w:val="4"/>
        </w:numPr>
        <w:spacing w:line="360" w:lineRule="auto"/>
        <w:ind w:right="-27"/>
        <w:jc w:val="both"/>
        <w:rPr>
          <w:rFonts w:ascii="Arial" w:hAnsi="Arial" w:cs="Arial"/>
        </w:rPr>
      </w:pPr>
      <w:r w:rsidRPr="00CF62C1">
        <w:rPr>
          <w:rFonts w:ascii="Arial" w:hAnsi="Arial" w:cs="Arial"/>
        </w:rPr>
        <w:t>Cáceres M, Marqués M, Cáceres O. Tratamiento del Estrabismo Paralítico con Toxina Botulínica A. Revista Cubana de Oftalmología 2015; 23(2).</w:t>
      </w:r>
    </w:p>
    <w:p w:rsidR="00CF62C1" w:rsidRDefault="00CF62C1" w:rsidP="004618C8">
      <w:pPr>
        <w:pStyle w:val="Prrafodelista1"/>
        <w:numPr>
          <w:ilvl w:val="0"/>
          <w:numId w:val="4"/>
        </w:numPr>
        <w:spacing w:line="360" w:lineRule="auto"/>
        <w:ind w:right="-27"/>
        <w:jc w:val="both"/>
        <w:rPr>
          <w:rFonts w:ascii="Arial" w:hAnsi="Arial" w:cs="Arial"/>
        </w:rPr>
      </w:pPr>
      <w:r w:rsidRPr="00CF62C1">
        <w:rPr>
          <w:rFonts w:ascii="Arial" w:hAnsi="Arial" w:cs="Arial"/>
        </w:rPr>
        <w:t>Cáceres M, Cáceres O, Marqués M. Toxina botulínica A en el músculo recto superior para la corrección de la retracción palpebral. Revista Cubana de Oftalmología 2017; 23(2).</w:t>
      </w:r>
    </w:p>
    <w:p w:rsidR="004618C8" w:rsidRPr="004618C8" w:rsidRDefault="004618C8" w:rsidP="004618C8">
      <w:pPr>
        <w:pStyle w:val="Prrafodelista1"/>
        <w:numPr>
          <w:ilvl w:val="0"/>
          <w:numId w:val="4"/>
        </w:numPr>
        <w:spacing w:line="360" w:lineRule="auto"/>
        <w:ind w:left="641" w:right="-28" w:hanging="357"/>
        <w:jc w:val="both"/>
        <w:rPr>
          <w:rFonts w:ascii="Arial" w:hAnsi="Arial" w:cs="Arial"/>
        </w:rPr>
      </w:pPr>
      <w:proofErr w:type="spellStart"/>
      <w:r w:rsidRPr="004618C8">
        <w:rPr>
          <w:rFonts w:ascii="Arial" w:hAnsi="Arial" w:cs="Arial"/>
        </w:rPr>
        <w:t>Kaynak-Hekimhan</w:t>
      </w:r>
      <w:proofErr w:type="spellEnd"/>
      <w:r w:rsidRPr="004618C8">
        <w:rPr>
          <w:rFonts w:ascii="Arial" w:hAnsi="Arial" w:cs="Arial"/>
        </w:rPr>
        <w:t xml:space="preserve"> P. </w:t>
      </w:r>
      <w:proofErr w:type="spellStart"/>
      <w:r w:rsidRPr="004618C8">
        <w:rPr>
          <w:rFonts w:ascii="Arial" w:hAnsi="Arial" w:cs="Arial"/>
        </w:rPr>
        <w:t>Noncosmetic</w:t>
      </w:r>
      <w:proofErr w:type="spellEnd"/>
      <w:r w:rsidRPr="004618C8">
        <w:rPr>
          <w:rFonts w:ascii="Arial" w:hAnsi="Arial" w:cs="Arial"/>
        </w:rPr>
        <w:t xml:space="preserve"> </w:t>
      </w:r>
      <w:proofErr w:type="spellStart"/>
      <w:r w:rsidRPr="004618C8">
        <w:rPr>
          <w:rFonts w:ascii="Arial" w:hAnsi="Arial" w:cs="Arial"/>
        </w:rPr>
        <w:t>periocular</w:t>
      </w:r>
      <w:proofErr w:type="spellEnd"/>
      <w:r w:rsidRPr="004618C8">
        <w:rPr>
          <w:rFonts w:ascii="Arial" w:hAnsi="Arial" w:cs="Arial"/>
        </w:rPr>
        <w:t xml:space="preserve"> </w:t>
      </w:r>
      <w:proofErr w:type="spellStart"/>
      <w:r w:rsidRPr="004618C8">
        <w:rPr>
          <w:rFonts w:ascii="Arial" w:hAnsi="Arial" w:cs="Arial"/>
        </w:rPr>
        <w:t>therapeutic</w:t>
      </w:r>
      <w:proofErr w:type="spellEnd"/>
      <w:r w:rsidRPr="004618C8">
        <w:rPr>
          <w:rFonts w:ascii="Arial" w:hAnsi="Arial" w:cs="Arial"/>
        </w:rPr>
        <w:t xml:space="preserve"> </w:t>
      </w:r>
      <w:proofErr w:type="spellStart"/>
      <w:r w:rsidRPr="004618C8">
        <w:rPr>
          <w:rFonts w:ascii="Arial" w:hAnsi="Arial" w:cs="Arial"/>
        </w:rPr>
        <w:t>applications</w:t>
      </w:r>
      <w:proofErr w:type="spellEnd"/>
      <w:r w:rsidRPr="004618C8">
        <w:rPr>
          <w:rFonts w:ascii="Arial" w:hAnsi="Arial" w:cs="Arial"/>
        </w:rPr>
        <w:t xml:space="preserve"> of </w:t>
      </w:r>
      <w:proofErr w:type="spellStart"/>
      <w:r w:rsidRPr="004618C8">
        <w:rPr>
          <w:rFonts w:ascii="Arial" w:hAnsi="Arial" w:cs="Arial"/>
        </w:rPr>
        <w:t>botulinum</w:t>
      </w:r>
      <w:proofErr w:type="spellEnd"/>
      <w:r w:rsidRPr="004618C8">
        <w:rPr>
          <w:rFonts w:ascii="Arial" w:hAnsi="Arial" w:cs="Arial"/>
        </w:rPr>
        <w:t xml:space="preserve"> </w:t>
      </w:r>
      <w:proofErr w:type="spellStart"/>
      <w:r w:rsidRPr="004618C8">
        <w:rPr>
          <w:rFonts w:ascii="Arial" w:hAnsi="Arial" w:cs="Arial"/>
        </w:rPr>
        <w:t>toxin</w:t>
      </w:r>
      <w:proofErr w:type="spellEnd"/>
      <w:r w:rsidRPr="004618C8">
        <w:rPr>
          <w:rFonts w:ascii="Arial" w:hAnsi="Arial" w:cs="Arial"/>
        </w:rPr>
        <w:t xml:space="preserve">. </w:t>
      </w:r>
      <w:proofErr w:type="spellStart"/>
      <w:r w:rsidRPr="004618C8">
        <w:rPr>
          <w:rFonts w:ascii="Arial" w:hAnsi="Arial" w:cs="Arial"/>
        </w:rPr>
        <w:t>Middle</w:t>
      </w:r>
      <w:proofErr w:type="spellEnd"/>
      <w:r w:rsidRPr="004618C8">
        <w:rPr>
          <w:rFonts w:ascii="Arial" w:hAnsi="Arial" w:cs="Arial"/>
        </w:rPr>
        <w:t xml:space="preserve"> East </w:t>
      </w:r>
      <w:proofErr w:type="spellStart"/>
      <w:r w:rsidRPr="004618C8">
        <w:rPr>
          <w:rFonts w:ascii="Arial" w:hAnsi="Arial" w:cs="Arial"/>
        </w:rPr>
        <w:t>Afr</w:t>
      </w:r>
      <w:proofErr w:type="spellEnd"/>
      <w:r w:rsidRPr="004618C8">
        <w:rPr>
          <w:rFonts w:ascii="Arial" w:hAnsi="Arial" w:cs="Arial"/>
        </w:rPr>
        <w:t xml:space="preserve"> J </w:t>
      </w:r>
      <w:proofErr w:type="spellStart"/>
      <w:r w:rsidRPr="004618C8">
        <w:rPr>
          <w:rFonts w:ascii="Arial" w:hAnsi="Arial" w:cs="Arial"/>
        </w:rPr>
        <w:t>Ophthalmol</w:t>
      </w:r>
      <w:proofErr w:type="spellEnd"/>
      <w:r w:rsidRPr="004618C8">
        <w:rPr>
          <w:rFonts w:ascii="Arial" w:hAnsi="Arial" w:cs="Arial"/>
        </w:rPr>
        <w:t xml:space="preserve"> 2010:113-20.</w:t>
      </w:r>
    </w:p>
    <w:p w:rsidR="004618C8" w:rsidRPr="00CF62C1" w:rsidRDefault="004618C8" w:rsidP="004618C8">
      <w:pPr>
        <w:pStyle w:val="Prrafodelista1"/>
        <w:numPr>
          <w:ilvl w:val="0"/>
          <w:numId w:val="4"/>
        </w:numPr>
        <w:spacing w:line="360" w:lineRule="auto"/>
        <w:ind w:left="641" w:right="-28" w:hanging="357"/>
        <w:jc w:val="both"/>
        <w:rPr>
          <w:rFonts w:ascii="Arial" w:hAnsi="Arial" w:cs="Arial"/>
        </w:rPr>
      </w:pPr>
      <w:proofErr w:type="spellStart"/>
      <w:r w:rsidRPr="004618C8">
        <w:rPr>
          <w:rFonts w:ascii="Arial" w:hAnsi="Arial" w:cs="Arial"/>
        </w:rPr>
        <w:t>Hornik</w:t>
      </w:r>
      <w:proofErr w:type="spellEnd"/>
      <w:r w:rsidRPr="004618C8">
        <w:rPr>
          <w:rFonts w:ascii="Arial" w:hAnsi="Arial" w:cs="Arial"/>
        </w:rPr>
        <w:t xml:space="preserve"> A, </w:t>
      </w:r>
      <w:proofErr w:type="spellStart"/>
      <w:r w:rsidRPr="004618C8">
        <w:rPr>
          <w:rFonts w:ascii="Arial" w:hAnsi="Arial" w:cs="Arial"/>
        </w:rPr>
        <w:t>Gruener</w:t>
      </w:r>
      <w:proofErr w:type="spellEnd"/>
      <w:r w:rsidRPr="004618C8">
        <w:rPr>
          <w:rFonts w:ascii="Arial" w:hAnsi="Arial" w:cs="Arial"/>
        </w:rPr>
        <w:t xml:space="preserve"> G, Jay W. Adverse </w:t>
      </w:r>
      <w:proofErr w:type="spellStart"/>
      <w:r w:rsidRPr="004618C8">
        <w:rPr>
          <w:rFonts w:ascii="Arial" w:hAnsi="Arial" w:cs="Arial"/>
        </w:rPr>
        <w:t>Reactions</w:t>
      </w:r>
      <w:proofErr w:type="spellEnd"/>
      <w:r w:rsidRPr="004618C8">
        <w:rPr>
          <w:rFonts w:ascii="Arial" w:hAnsi="Arial" w:cs="Arial"/>
        </w:rPr>
        <w:t xml:space="preserve"> </w:t>
      </w:r>
      <w:proofErr w:type="spellStart"/>
      <w:r w:rsidRPr="004618C8">
        <w:rPr>
          <w:rFonts w:ascii="Arial" w:hAnsi="Arial" w:cs="Arial"/>
        </w:rPr>
        <w:t>from</w:t>
      </w:r>
      <w:proofErr w:type="spellEnd"/>
      <w:r w:rsidRPr="004618C8">
        <w:rPr>
          <w:rFonts w:ascii="Arial" w:hAnsi="Arial" w:cs="Arial"/>
        </w:rPr>
        <w:t xml:space="preserve"> </w:t>
      </w:r>
      <w:proofErr w:type="spellStart"/>
      <w:r w:rsidRPr="004618C8">
        <w:rPr>
          <w:rFonts w:ascii="Arial" w:hAnsi="Arial" w:cs="Arial"/>
        </w:rPr>
        <w:t>Botulinum</w:t>
      </w:r>
      <w:proofErr w:type="spellEnd"/>
      <w:r w:rsidRPr="004618C8">
        <w:rPr>
          <w:rFonts w:ascii="Arial" w:hAnsi="Arial" w:cs="Arial"/>
        </w:rPr>
        <w:t xml:space="preserve"> </w:t>
      </w:r>
      <w:proofErr w:type="spellStart"/>
      <w:r w:rsidRPr="004618C8">
        <w:rPr>
          <w:rFonts w:ascii="Arial" w:hAnsi="Arial" w:cs="Arial"/>
        </w:rPr>
        <w:t>Toxin</w:t>
      </w:r>
      <w:proofErr w:type="spellEnd"/>
      <w:r w:rsidRPr="004618C8">
        <w:rPr>
          <w:rFonts w:ascii="Arial" w:hAnsi="Arial" w:cs="Arial"/>
        </w:rPr>
        <w:t xml:space="preserve"> </w:t>
      </w:r>
      <w:proofErr w:type="spellStart"/>
      <w:r w:rsidRPr="004618C8">
        <w:rPr>
          <w:rFonts w:ascii="Arial" w:hAnsi="Arial" w:cs="Arial"/>
        </w:rPr>
        <w:t>Administration</w:t>
      </w:r>
      <w:proofErr w:type="spellEnd"/>
      <w:r w:rsidRPr="004618C8">
        <w:rPr>
          <w:rFonts w:ascii="Arial" w:hAnsi="Arial" w:cs="Arial"/>
        </w:rPr>
        <w:t xml:space="preserve">. </w:t>
      </w:r>
      <w:proofErr w:type="spellStart"/>
      <w:r w:rsidRPr="004618C8">
        <w:rPr>
          <w:rFonts w:ascii="Arial" w:hAnsi="Arial" w:cs="Arial"/>
        </w:rPr>
        <w:t>Neuro-Ophthalmology</w:t>
      </w:r>
      <w:proofErr w:type="spellEnd"/>
      <w:r w:rsidRPr="004618C8">
        <w:rPr>
          <w:rFonts w:ascii="Arial" w:hAnsi="Arial" w:cs="Arial"/>
        </w:rPr>
        <w:t xml:space="preserve"> 2010:6–13</w:t>
      </w:r>
    </w:p>
    <w:p w:rsidR="00CF62C1" w:rsidRPr="00CF62C1" w:rsidRDefault="00CF62C1" w:rsidP="004618C8">
      <w:pPr>
        <w:pStyle w:val="Prrafodelista1"/>
        <w:spacing w:line="360" w:lineRule="auto"/>
        <w:ind w:left="643" w:right="-27"/>
        <w:jc w:val="both"/>
        <w:rPr>
          <w:rFonts w:ascii="Arial" w:hAnsi="Arial" w:cs="Arial"/>
        </w:rPr>
      </w:pPr>
    </w:p>
    <w:p w:rsidR="00CF62C1" w:rsidRPr="00CF62C1" w:rsidRDefault="00CF62C1" w:rsidP="004618C8">
      <w:pPr>
        <w:pStyle w:val="Prrafodelista1"/>
        <w:spacing w:line="360" w:lineRule="auto"/>
        <w:ind w:left="643" w:right="-27"/>
        <w:jc w:val="both"/>
        <w:rPr>
          <w:rFonts w:ascii="Arial" w:hAnsi="Arial" w:cs="Arial"/>
        </w:rPr>
      </w:pPr>
    </w:p>
    <w:sectPr w:rsidR="00CF62C1" w:rsidRPr="00CF62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1DC8"/>
    <w:multiLevelType w:val="hybridMultilevel"/>
    <w:tmpl w:val="76E6C64E"/>
    <w:lvl w:ilvl="0" w:tplc="0C0A000F">
      <w:start w:val="1"/>
      <w:numFmt w:val="decimal"/>
      <w:lvlText w:val="%1."/>
      <w:lvlJc w:val="left"/>
      <w:pPr>
        <w:ind w:left="64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7B1280"/>
    <w:multiLevelType w:val="hybridMultilevel"/>
    <w:tmpl w:val="B712AB08"/>
    <w:lvl w:ilvl="0" w:tplc="12DA87F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5844325"/>
    <w:multiLevelType w:val="hybridMultilevel"/>
    <w:tmpl w:val="3814B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3309A5"/>
    <w:multiLevelType w:val="hybridMultilevel"/>
    <w:tmpl w:val="442230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CCD2215"/>
    <w:multiLevelType w:val="hybridMultilevel"/>
    <w:tmpl w:val="60B44F32"/>
    <w:lvl w:ilvl="0" w:tplc="9F7A9476">
      <w:start w:val="1"/>
      <w:numFmt w:val="bullet"/>
      <w:lvlText w:val="•"/>
      <w:lvlJc w:val="left"/>
      <w:pPr>
        <w:tabs>
          <w:tab w:val="num" w:pos="720"/>
        </w:tabs>
        <w:ind w:left="720" w:hanging="360"/>
      </w:pPr>
      <w:rPr>
        <w:rFonts w:ascii="Arial" w:hAnsi="Arial" w:hint="default"/>
      </w:rPr>
    </w:lvl>
    <w:lvl w:ilvl="1" w:tplc="0F442340" w:tentative="1">
      <w:start w:val="1"/>
      <w:numFmt w:val="bullet"/>
      <w:lvlText w:val="•"/>
      <w:lvlJc w:val="left"/>
      <w:pPr>
        <w:tabs>
          <w:tab w:val="num" w:pos="1440"/>
        </w:tabs>
        <w:ind w:left="1440" w:hanging="360"/>
      </w:pPr>
      <w:rPr>
        <w:rFonts w:ascii="Arial" w:hAnsi="Arial" w:hint="default"/>
      </w:rPr>
    </w:lvl>
    <w:lvl w:ilvl="2" w:tplc="B6708880" w:tentative="1">
      <w:start w:val="1"/>
      <w:numFmt w:val="bullet"/>
      <w:lvlText w:val="•"/>
      <w:lvlJc w:val="left"/>
      <w:pPr>
        <w:tabs>
          <w:tab w:val="num" w:pos="2160"/>
        </w:tabs>
        <w:ind w:left="2160" w:hanging="360"/>
      </w:pPr>
      <w:rPr>
        <w:rFonts w:ascii="Arial" w:hAnsi="Arial" w:hint="default"/>
      </w:rPr>
    </w:lvl>
    <w:lvl w:ilvl="3" w:tplc="3C84F414" w:tentative="1">
      <w:start w:val="1"/>
      <w:numFmt w:val="bullet"/>
      <w:lvlText w:val="•"/>
      <w:lvlJc w:val="left"/>
      <w:pPr>
        <w:tabs>
          <w:tab w:val="num" w:pos="2880"/>
        </w:tabs>
        <w:ind w:left="2880" w:hanging="360"/>
      </w:pPr>
      <w:rPr>
        <w:rFonts w:ascii="Arial" w:hAnsi="Arial" w:hint="default"/>
      </w:rPr>
    </w:lvl>
    <w:lvl w:ilvl="4" w:tplc="3252F54A" w:tentative="1">
      <w:start w:val="1"/>
      <w:numFmt w:val="bullet"/>
      <w:lvlText w:val="•"/>
      <w:lvlJc w:val="left"/>
      <w:pPr>
        <w:tabs>
          <w:tab w:val="num" w:pos="3600"/>
        </w:tabs>
        <w:ind w:left="3600" w:hanging="360"/>
      </w:pPr>
      <w:rPr>
        <w:rFonts w:ascii="Arial" w:hAnsi="Arial" w:hint="default"/>
      </w:rPr>
    </w:lvl>
    <w:lvl w:ilvl="5" w:tplc="DC983BB6" w:tentative="1">
      <w:start w:val="1"/>
      <w:numFmt w:val="bullet"/>
      <w:lvlText w:val="•"/>
      <w:lvlJc w:val="left"/>
      <w:pPr>
        <w:tabs>
          <w:tab w:val="num" w:pos="4320"/>
        </w:tabs>
        <w:ind w:left="4320" w:hanging="360"/>
      </w:pPr>
      <w:rPr>
        <w:rFonts w:ascii="Arial" w:hAnsi="Arial" w:hint="default"/>
      </w:rPr>
    </w:lvl>
    <w:lvl w:ilvl="6" w:tplc="0374E692" w:tentative="1">
      <w:start w:val="1"/>
      <w:numFmt w:val="bullet"/>
      <w:lvlText w:val="•"/>
      <w:lvlJc w:val="left"/>
      <w:pPr>
        <w:tabs>
          <w:tab w:val="num" w:pos="5040"/>
        </w:tabs>
        <w:ind w:left="5040" w:hanging="360"/>
      </w:pPr>
      <w:rPr>
        <w:rFonts w:ascii="Arial" w:hAnsi="Arial" w:hint="default"/>
      </w:rPr>
    </w:lvl>
    <w:lvl w:ilvl="7" w:tplc="319483B4" w:tentative="1">
      <w:start w:val="1"/>
      <w:numFmt w:val="bullet"/>
      <w:lvlText w:val="•"/>
      <w:lvlJc w:val="left"/>
      <w:pPr>
        <w:tabs>
          <w:tab w:val="num" w:pos="5760"/>
        </w:tabs>
        <w:ind w:left="5760" w:hanging="360"/>
      </w:pPr>
      <w:rPr>
        <w:rFonts w:ascii="Arial" w:hAnsi="Arial" w:hint="default"/>
      </w:rPr>
    </w:lvl>
    <w:lvl w:ilvl="8" w:tplc="F4528BBA" w:tentative="1">
      <w:start w:val="1"/>
      <w:numFmt w:val="bullet"/>
      <w:lvlText w:val="•"/>
      <w:lvlJc w:val="left"/>
      <w:pPr>
        <w:tabs>
          <w:tab w:val="num" w:pos="6480"/>
        </w:tabs>
        <w:ind w:left="6480" w:hanging="360"/>
      </w:pPr>
      <w:rPr>
        <w:rFonts w:ascii="Arial" w:hAnsi="Arial" w:hint="default"/>
      </w:rPr>
    </w:lvl>
  </w:abstractNum>
  <w:abstractNum w:abstractNumId="5">
    <w:nsid w:val="4DE62BF3"/>
    <w:multiLevelType w:val="singleLevel"/>
    <w:tmpl w:val="12DA87F0"/>
    <w:lvl w:ilvl="0">
      <w:start w:val="1"/>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B4"/>
    <w:rsid w:val="000749BA"/>
    <w:rsid w:val="00087D57"/>
    <w:rsid w:val="00097453"/>
    <w:rsid w:val="004618C8"/>
    <w:rsid w:val="00574C2C"/>
    <w:rsid w:val="00613FB3"/>
    <w:rsid w:val="006E0A02"/>
    <w:rsid w:val="00864EB5"/>
    <w:rsid w:val="00A61981"/>
    <w:rsid w:val="00AC4FD9"/>
    <w:rsid w:val="00CF62C1"/>
    <w:rsid w:val="00D0065E"/>
    <w:rsid w:val="00EC0DB4"/>
    <w:rsid w:val="00F01E12"/>
    <w:rsid w:val="00FA6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D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B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C0D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DB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C0DB4"/>
    <w:rPr>
      <w:b/>
      <w:bCs/>
    </w:rPr>
  </w:style>
  <w:style w:type="paragraph" w:styleId="BodyText">
    <w:name w:val="Body Text"/>
    <w:basedOn w:val="Normal"/>
    <w:link w:val="BodyTextChar"/>
    <w:unhideWhenUsed/>
    <w:rsid w:val="00FA6FE3"/>
    <w:pPr>
      <w:spacing w:after="120" w:line="240" w:lineRule="auto"/>
    </w:pPr>
    <w:rPr>
      <w:rFonts w:ascii="Times New Roman" w:eastAsia="Times New Roman" w:hAnsi="Times New Roman" w:cs="Times New Roman"/>
      <w:sz w:val="20"/>
      <w:szCs w:val="20"/>
      <w:lang w:val="es-ES_tradnl" w:eastAsia="zh-CN"/>
    </w:rPr>
  </w:style>
  <w:style w:type="character" w:customStyle="1" w:styleId="BodyTextChar">
    <w:name w:val="Body Text Char"/>
    <w:basedOn w:val="DefaultParagraphFont"/>
    <w:link w:val="BodyText"/>
    <w:rsid w:val="00FA6FE3"/>
    <w:rPr>
      <w:rFonts w:ascii="Times New Roman" w:eastAsia="Times New Roman" w:hAnsi="Times New Roman" w:cs="Times New Roman"/>
      <w:sz w:val="20"/>
      <w:szCs w:val="20"/>
      <w:lang w:val="es-ES_tradnl" w:eastAsia="zh-CN"/>
    </w:rPr>
  </w:style>
  <w:style w:type="paragraph" w:styleId="ListParagraph">
    <w:name w:val="List Paragraph"/>
    <w:basedOn w:val="Normal"/>
    <w:uiPriority w:val="34"/>
    <w:qFormat/>
    <w:rsid w:val="00FA6FE3"/>
    <w:pPr>
      <w:ind w:left="720"/>
      <w:contextualSpacing/>
    </w:pPr>
  </w:style>
  <w:style w:type="paragraph" w:customStyle="1" w:styleId="Prrafodelista1">
    <w:name w:val="Párrafo de lista1"/>
    <w:basedOn w:val="Normal"/>
    <w:rsid w:val="00613FB3"/>
    <w:pPr>
      <w:spacing w:after="0" w:line="240" w:lineRule="auto"/>
      <w:ind w:left="708"/>
    </w:pPr>
    <w:rPr>
      <w:rFonts w:ascii="Times New Roman" w:eastAsia="Times New Roman" w:hAnsi="Times New Roman" w:cs="Times New Roman"/>
      <w:sz w:val="24"/>
      <w:szCs w:val="24"/>
      <w:lang w:eastAsia="es-ES"/>
    </w:rPr>
  </w:style>
  <w:style w:type="paragraph" w:styleId="NormalWeb">
    <w:name w:val="Normal (Web)"/>
    <w:aliases w:val="Car,Car10"/>
    <w:basedOn w:val="Normal"/>
    <w:link w:val="NormalWebChar"/>
    <w:unhideWhenUsed/>
    <w:rsid w:val="00574C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WebChar">
    <w:name w:val="Normal (Web) Char"/>
    <w:aliases w:val="Car Char,Car10 Char"/>
    <w:link w:val="NormalWeb"/>
    <w:locked/>
    <w:rsid w:val="00D0065E"/>
    <w:rPr>
      <w:rFonts w:ascii="Times New Roman" w:eastAsia="Times New Roman" w:hAnsi="Times New Roman" w:cs="Times New Roman"/>
      <w:sz w:val="24"/>
      <w:szCs w:val="24"/>
      <w:lang w:eastAsia="es-ES"/>
    </w:rPr>
  </w:style>
  <w:style w:type="paragraph" w:styleId="BodyText2">
    <w:name w:val="Body Text 2"/>
    <w:basedOn w:val="Normal"/>
    <w:link w:val="BodyText2Char"/>
    <w:semiHidden/>
    <w:unhideWhenUsed/>
    <w:rsid w:val="004618C8"/>
    <w:pPr>
      <w:spacing w:after="120" w:line="480" w:lineRule="auto"/>
    </w:pPr>
    <w:rPr>
      <w:rFonts w:ascii="Times New Roman" w:eastAsia="Times New Roman" w:hAnsi="Times New Roman" w:cs="Times New Roman"/>
      <w:sz w:val="20"/>
      <w:szCs w:val="20"/>
      <w:lang w:val="es-ES_tradnl" w:eastAsia="zh-CN"/>
    </w:rPr>
  </w:style>
  <w:style w:type="character" w:customStyle="1" w:styleId="BodyText2Char">
    <w:name w:val="Body Text 2 Char"/>
    <w:basedOn w:val="DefaultParagraphFont"/>
    <w:link w:val="BodyText2"/>
    <w:semiHidden/>
    <w:rsid w:val="004618C8"/>
    <w:rPr>
      <w:rFonts w:ascii="Times New Roman" w:eastAsia="Times New Roman" w:hAnsi="Times New Roman" w:cs="Times New Roman"/>
      <w:sz w:val="20"/>
      <w:szCs w:val="20"/>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D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B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C0D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DB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C0DB4"/>
    <w:rPr>
      <w:b/>
      <w:bCs/>
    </w:rPr>
  </w:style>
  <w:style w:type="paragraph" w:styleId="BodyText">
    <w:name w:val="Body Text"/>
    <w:basedOn w:val="Normal"/>
    <w:link w:val="BodyTextChar"/>
    <w:unhideWhenUsed/>
    <w:rsid w:val="00FA6FE3"/>
    <w:pPr>
      <w:spacing w:after="120" w:line="240" w:lineRule="auto"/>
    </w:pPr>
    <w:rPr>
      <w:rFonts w:ascii="Times New Roman" w:eastAsia="Times New Roman" w:hAnsi="Times New Roman" w:cs="Times New Roman"/>
      <w:sz w:val="20"/>
      <w:szCs w:val="20"/>
      <w:lang w:val="es-ES_tradnl" w:eastAsia="zh-CN"/>
    </w:rPr>
  </w:style>
  <w:style w:type="character" w:customStyle="1" w:styleId="BodyTextChar">
    <w:name w:val="Body Text Char"/>
    <w:basedOn w:val="DefaultParagraphFont"/>
    <w:link w:val="BodyText"/>
    <w:rsid w:val="00FA6FE3"/>
    <w:rPr>
      <w:rFonts w:ascii="Times New Roman" w:eastAsia="Times New Roman" w:hAnsi="Times New Roman" w:cs="Times New Roman"/>
      <w:sz w:val="20"/>
      <w:szCs w:val="20"/>
      <w:lang w:val="es-ES_tradnl" w:eastAsia="zh-CN"/>
    </w:rPr>
  </w:style>
  <w:style w:type="paragraph" w:styleId="ListParagraph">
    <w:name w:val="List Paragraph"/>
    <w:basedOn w:val="Normal"/>
    <w:uiPriority w:val="34"/>
    <w:qFormat/>
    <w:rsid w:val="00FA6FE3"/>
    <w:pPr>
      <w:ind w:left="720"/>
      <w:contextualSpacing/>
    </w:pPr>
  </w:style>
  <w:style w:type="paragraph" w:customStyle="1" w:styleId="Prrafodelista1">
    <w:name w:val="Párrafo de lista1"/>
    <w:basedOn w:val="Normal"/>
    <w:rsid w:val="00613FB3"/>
    <w:pPr>
      <w:spacing w:after="0" w:line="240" w:lineRule="auto"/>
      <w:ind w:left="708"/>
    </w:pPr>
    <w:rPr>
      <w:rFonts w:ascii="Times New Roman" w:eastAsia="Times New Roman" w:hAnsi="Times New Roman" w:cs="Times New Roman"/>
      <w:sz w:val="24"/>
      <w:szCs w:val="24"/>
      <w:lang w:eastAsia="es-ES"/>
    </w:rPr>
  </w:style>
  <w:style w:type="paragraph" w:styleId="NormalWeb">
    <w:name w:val="Normal (Web)"/>
    <w:aliases w:val="Car,Car10"/>
    <w:basedOn w:val="Normal"/>
    <w:link w:val="NormalWebChar"/>
    <w:unhideWhenUsed/>
    <w:rsid w:val="00574C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WebChar">
    <w:name w:val="Normal (Web) Char"/>
    <w:aliases w:val="Car Char,Car10 Char"/>
    <w:link w:val="NormalWeb"/>
    <w:locked/>
    <w:rsid w:val="00D0065E"/>
    <w:rPr>
      <w:rFonts w:ascii="Times New Roman" w:eastAsia="Times New Roman" w:hAnsi="Times New Roman" w:cs="Times New Roman"/>
      <w:sz w:val="24"/>
      <w:szCs w:val="24"/>
      <w:lang w:eastAsia="es-ES"/>
    </w:rPr>
  </w:style>
  <w:style w:type="paragraph" w:styleId="BodyText2">
    <w:name w:val="Body Text 2"/>
    <w:basedOn w:val="Normal"/>
    <w:link w:val="BodyText2Char"/>
    <w:semiHidden/>
    <w:unhideWhenUsed/>
    <w:rsid w:val="004618C8"/>
    <w:pPr>
      <w:spacing w:after="120" w:line="480" w:lineRule="auto"/>
    </w:pPr>
    <w:rPr>
      <w:rFonts w:ascii="Times New Roman" w:eastAsia="Times New Roman" w:hAnsi="Times New Roman" w:cs="Times New Roman"/>
      <w:sz w:val="20"/>
      <w:szCs w:val="20"/>
      <w:lang w:val="es-ES_tradnl" w:eastAsia="zh-CN"/>
    </w:rPr>
  </w:style>
  <w:style w:type="character" w:customStyle="1" w:styleId="BodyText2Char">
    <w:name w:val="Body Text 2 Char"/>
    <w:basedOn w:val="DefaultParagraphFont"/>
    <w:link w:val="BodyText2"/>
    <w:semiHidden/>
    <w:rsid w:val="004618C8"/>
    <w:rPr>
      <w:rFonts w:ascii="Times New Roman" w:eastAsia="Times New Roman" w:hAnsi="Times New Roman" w:cs="Times New Roman"/>
      <w:sz w:val="20"/>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UVS</dc:creator>
  <cp:lastModifiedBy>Armando</cp:lastModifiedBy>
  <cp:revision>2</cp:revision>
  <dcterms:created xsi:type="dcterms:W3CDTF">2018-03-01T23:19:00Z</dcterms:created>
  <dcterms:modified xsi:type="dcterms:W3CDTF">2018-03-01T23:19:00Z</dcterms:modified>
</cp:coreProperties>
</file>