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tbl>
      <w:tblPr>
        <w:tblStyle w:val="Tablaconcuadrcula"/>
        <w:tblW w:w="15020" w:type="dxa"/>
        <w:tblLook w:val="04A0"/>
      </w:tblPr>
      <w:tblGrid>
        <w:gridCol w:w="2217"/>
        <w:gridCol w:w="443"/>
        <w:gridCol w:w="850"/>
        <w:gridCol w:w="851"/>
        <w:gridCol w:w="1134"/>
        <w:gridCol w:w="513"/>
        <w:gridCol w:w="1188"/>
        <w:gridCol w:w="296"/>
        <w:gridCol w:w="554"/>
        <w:gridCol w:w="142"/>
        <w:gridCol w:w="824"/>
        <w:gridCol w:w="1444"/>
        <w:gridCol w:w="72"/>
        <w:gridCol w:w="806"/>
        <w:gridCol w:w="682"/>
        <w:gridCol w:w="3004"/>
      </w:tblGrid>
      <w:tr w:rsidR="00A151CD" w:rsidTr="00627FA0">
        <w:trPr>
          <w:trHeight w:val="259"/>
        </w:trPr>
        <w:tc>
          <w:tcPr>
            <w:tcW w:w="15020" w:type="dxa"/>
            <w:gridSpan w:val="16"/>
          </w:tcPr>
          <w:p w:rsidR="00A151CD" w:rsidRPr="003348CB" w:rsidRDefault="00A151CD" w:rsidP="001D4E27">
            <w:pPr>
              <w:shd w:val="clear" w:color="auto" w:fill="000000" w:themeFill="text1"/>
              <w:rPr>
                <w:rFonts w:ascii="Arial Narrow" w:hAnsi="Arial Narrow" w:cs="Arial"/>
                <w:b/>
                <w:bCs/>
                <w:u w:val="single"/>
              </w:rPr>
            </w:pPr>
            <w:r w:rsidRPr="003348CB">
              <w:rPr>
                <w:rFonts w:ascii="Arial Narrow" w:hAnsi="Arial Narrow" w:cs="Arial"/>
                <w:b/>
                <w:bCs/>
                <w:u w:val="single"/>
              </w:rPr>
              <w:t>UNIDAD 1. : Continuación.</w:t>
            </w:r>
          </w:p>
          <w:p w:rsidR="00A151CD" w:rsidRPr="003348CB" w:rsidRDefault="00A151CD" w:rsidP="001D4E27">
            <w:pPr>
              <w:shd w:val="clear" w:color="auto" w:fill="000000" w:themeFill="text1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/>
                <w:bCs/>
              </w:rPr>
              <w:t>TEMA. 1.4.</w:t>
            </w:r>
            <w:r w:rsidRPr="003348CB">
              <w:rPr>
                <w:rFonts w:ascii="Arial Narrow" w:hAnsi="Arial Narrow" w:cs="Arial"/>
                <w:bCs/>
              </w:rPr>
              <w:t xml:space="preserve"> </w:t>
            </w:r>
            <w:r w:rsidRPr="000707D3">
              <w:rPr>
                <w:rFonts w:ascii="Arial Narrow" w:hAnsi="Arial Narrow" w:cs="Arial"/>
                <w:b/>
                <w:bCs/>
              </w:rPr>
              <w:t>Valoración continua del paciente grave en las unidades de cuidados progresivos</w:t>
            </w:r>
            <w:r w:rsidRPr="003348CB">
              <w:rPr>
                <w:rFonts w:ascii="Arial Narrow" w:hAnsi="Arial Narrow" w:cs="Arial"/>
                <w:bCs/>
              </w:rPr>
              <w:t>.</w:t>
            </w:r>
          </w:p>
          <w:p w:rsidR="00A151CD" w:rsidRPr="003348CB" w:rsidRDefault="00A151CD" w:rsidP="001D4E27">
            <w:pPr>
              <w:shd w:val="clear" w:color="auto" w:fill="000000" w:themeFill="text1"/>
              <w:ind w:left="-12"/>
              <w:jc w:val="both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/>
                <w:bCs/>
              </w:rPr>
              <w:t>Sumario:</w:t>
            </w:r>
            <w:r w:rsidRPr="003348CB">
              <w:rPr>
                <w:rFonts w:ascii="Arial Narrow" w:hAnsi="Arial Narrow" w:cs="Arial"/>
                <w:bCs/>
              </w:rPr>
              <w:t xml:space="preserve"> Valoración continúa. Concepto. Objetivo.</w:t>
            </w:r>
          </w:p>
          <w:p w:rsidR="00A151CD" w:rsidRPr="003348CB" w:rsidRDefault="00A151CD" w:rsidP="001D4E27">
            <w:pPr>
              <w:shd w:val="clear" w:color="auto" w:fill="000000" w:themeFill="text1"/>
              <w:ind w:left="-12"/>
              <w:jc w:val="both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Cs/>
              </w:rPr>
              <w:t>Valoración clínica del paciente grave.   Objetivo.</w:t>
            </w:r>
          </w:p>
          <w:p w:rsidR="00A151CD" w:rsidRPr="003348CB" w:rsidRDefault="00A151CD" w:rsidP="001D4E27">
            <w:pPr>
              <w:shd w:val="clear" w:color="auto" w:fill="000000" w:themeFill="text1"/>
              <w:ind w:left="-12"/>
              <w:jc w:val="both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Cs/>
              </w:rPr>
              <w:t xml:space="preserve">Signos y síntomas que deben explorarse con mayor frecuencia.  Estado de la conciencia, nivel del coma, escala de Glasgow. Función respiratoria.  Estado hemodinámico y función digestiva. Monitoraje electrónico de la frecuencia cardíaca, de la frecuencia respiratoria, de la tensión arterial y de la diuresis. Definición. Clasificación. Método.  Vías para el registro. Valores de referencia. Errores en sus registros. </w:t>
            </w:r>
          </w:p>
          <w:p w:rsidR="00A151CD" w:rsidRPr="003348CB" w:rsidRDefault="00A151CD" w:rsidP="001D4E27">
            <w:pPr>
              <w:shd w:val="clear" w:color="auto" w:fill="000000" w:themeFill="text1"/>
              <w:ind w:left="-12"/>
              <w:jc w:val="both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Cs/>
              </w:rPr>
              <w:t xml:space="preserve">Presión arterial media y Presión venosa central. Concepto. Mecanismos que la determinan.  Objetivos.  Métodos y vías para el registro. Valores de referencia. Errores más frecuentes en sus registros. Complicaciones.  Cuidados de Enfermería. </w:t>
            </w:r>
          </w:p>
          <w:p w:rsidR="00A151CD" w:rsidRPr="003348CB" w:rsidRDefault="00A151CD" w:rsidP="001D4E27">
            <w:pPr>
              <w:shd w:val="clear" w:color="auto" w:fill="000000" w:themeFill="text1"/>
              <w:ind w:left="-12"/>
              <w:jc w:val="both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Cs/>
              </w:rPr>
              <w:t>Monitorización hemodinámica. Concepto. Catéteres más utilizados  y  sus características. Medición de la presión en aurícula   derecha (PAD),   presión arterial pulmonar (PAP);  presión arterial pulmonar enclavada (PCP)  (PW).</w:t>
            </w:r>
          </w:p>
          <w:p w:rsidR="00A151CD" w:rsidRPr="003348CB" w:rsidRDefault="00A151CD" w:rsidP="001D4E27">
            <w:pPr>
              <w:shd w:val="clear" w:color="auto" w:fill="000000" w:themeFill="text1"/>
              <w:ind w:left="-12"/>
              <w:jc w:val="both"/>
              <w:rPr>
                <w:rFonts w:ascii="Arial Narrow" w:hAnsi="Arial Narrow" w:cs="Arial"/>
                <w:bCs/>
              </w:rPr>
            </w:pPr>
            <w:r w:rsidRPr="003348CB">
              <w:rPr>
                <w:rFonts w:ascii="Arial Narrow" w:hAnsi="Arial Narrow" w:cs="Arial"/>
                <w:bCs/>
              </w:rPr>
              <w:t>Gasto cardíaco. Definición. Objetivo. Valores de    referencia. Procedimiento y método de termodilusión. Causa  de errores en su registro. Cuidados de enfermería.</w:t>
            </w:r>
          </w:p>
          <w:p w:rsidR="00A151CD" w:rsidRPr="00DA4529" w:rsidRDefault="00A151CD" w:rsidP="001D4E27">
            <w:pPr>
              <w:shd w:val="clear" w:color="auto" w:fill="000000" w:themeFill="text1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3348CB">
              <w:rPr>
                <w:rFonts w:ascii="Arial Narrow" w:hAnsi="Arial Narrow" w:cs="Arial"/>
                <w:bCs/>
              </w:rPr>
              <w:t>Valoración psicológica del paciente grave. Reacciones psicológicas. Factores, Formas, Manifestaciones y grado de estabilidad. Mecanismo de compensación.  Diagnóstico de enfermería. Intervención de enfermería. Tratamiento de las alteraciones psíquicas del paciente grave.  Profilaxis. Evaluación de los resultados a la conducta psicoterapéutica.</w:t>
            </w:r>
          </w:p>
        </w:tc>
      </w:tr>
      <w:tr w:rsidR="00260A7F" w:rsidTr="00627FA0">
        <w:trPr>
          <w:trHeight w:val="259"/>
        </w:trPr>
        <w:tc>
          <w:tcPr>
            <w:tcW w:w="15020" w:type="dxa"/>
            <w:gridSpan w:val="16"/>
          </w:tcPr>
          <w:p w:rsidR="00260A7F" w:rsidRPr="00260A7F" w:rsidRDefault="00260A7F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4529">
              <w:rPr>
                <w:rFonts w:ascii="Arial" w:eastAsia="Times New Roman" w:hAnsi="Arial" w:cs="Arial"/>
                <w:b/>
                <w:lang w:val="es-ES" w:eastAsia="es-ES"/>
              </w:rPr>
              <w:t>TEMA 1.4  Valoración continua del paciente grave.</w:t>
            </w:r>
          </w:p>
        </w:tc>
      </w:tr>
      <w:tr w:rsidR="00260A7F" w:rsidTr="009A3D80">
        <w:trPr>
          <w:trHeight w:val="259"/>
        </w:trPr>
        <w:tc>
          <w:tcPr>
            <w:tcW w:w="7492" w:type="dxa"/>
            <w:gridSpan w:val="8"/>
          </w:tcPr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hanging="75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Valoración continua. Concepto. Objetivo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Valoración clínica del paciente grave.         Objetivo.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Signos y síntomas que deben explorarse con mayor frecuencia en el paciente grave. Estado de la conciencia, nivel del coma, escala de Glasgow. Función respiratoria. Estado hemodinámico y función digestiva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Monitoraje eléctrico. Definición. Clasificación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Monitoraje de la frecuencia cardíaca. Concepto. Métodos y vías para el registro. Valores de referencia. Errores más frecuentes en sus registros.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Monitoraje de la frecuencia respiratoria Concepto. Métodos y vías para el registro. Valores de referencia. Errores más frecuentes en sus registros.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Monitoraje de la diuresis Concepto. Métodos y vías para el registro. Valores de referencia. Errores más frecuentes en sus registros.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Monitoraje de la tensión arterial Concepto. Métodos y vías para el registro. Valores de referencia. Errores más frecuentes en sus registros.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Presión arterial media. Concepto. Mecanismos que la determinan. Objetivos. Métodos y vías para el registro. Valores de referencia. Errores más frecuentes en sus registros.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Complicaciones. Cuidados de Enfermería.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Presión venosa central. Definición. Mecanismo que la determina. Causas más frecuentes de errores en su lectura. Valores de referencia. Cuidados de enfermería.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Monitorización hemodinámica. Concepto. Catéteres más utilizados y sus características. Medición de la presión en aurícula derecha (PAD), presión arterial pulmonar (PAP), presión arterial pulmonar enclavada (PCP) (PW).</w:t>
            </w:r>
          </w:p>
          <w:p w:rsidR="00260A7F" w:rsidRPr="00260A7F" w:rsidRDefault="00260A7F" w:rsidP="00260A7F">
            <w:pPr>
              <w:numPr>
                <w:ilvl w:val="0"/>
                <w:numId w:val="2"/>
              </w:numPr>
              <w:tabs>
                <w:tab w:val="num" w:pos="470"/>
              </w:tabs>
              <w:ind w:left="47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Gasto Cardíaco. Definición. Objetivo de su medición. Valores de referencia. Procedimiento y método de termodilusión. Causa más frecuente de errores en su registro. Cuidados de enfermería.</w:t>
            </w:r>
          </w:p>
          <w:p w:rsidR="00260A7F" w:rsidRPr="00260A7F" w:rsidRDefault="00260A7F" w:rsidP="00260A7F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Valoración psicológica del paciente grave. Reacciones psicológicas más frecuentes. Factores que acondicionan las reacciones psicológicas. Forma de reacciones patológicas. Manifestaciones y grado de estabilidad. Mecanismo de compensación o de defensa del paciente.</w:t>
            </w:r>
          </w:p>
          <w:p w:rsidR="00260A7F" w:rsidRPr="00260A7F" w:rsidRDefault="00260A7F" w:rsidP="00260A7F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lastRenderedPageBreak/>
              <w:t>Diagnóstico de enfermería más frecuente en pacientes con reacciones psicológicas. Intervención de enfermería en la conducta terapéutica en las reacciones psicológicas.</w:t>
            </w:r>
          </w:p>
          <w:p w:rsidR="00260A7F" w:rsidRPr="00260A7F" w:rsidRDefault="00260A7F" w:rsidP="00260A7F">
            <w:pPr>
              <w:rPr>
                <w:sz w:val="20"/>
                <w:szCs w:val="20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Tratamiento de las alteraciones psíquicas del paciente grave. Profilaxis de las alteraciones psíquicas. Evaluación de los resultados esperados a la conducta psicoterapéutica.</w:t>
            </w:r>
          </w:p>
        </w:tc>
        <w:tc>
          <w:tcPr>
            <w:tcW w:w="7528" w:type="dxa"/>
            <w:gridSpan w:val="8"/>
          </w:tcPr>
          <w:p w:rsidR="00260A7F" w:rsidRPr="00260A7F" w:rsidRDefault="00260A7F" w:rsidP="00260A7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Analizar la importancia de la valoración continua de enfermería en el paciente grave.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-Valorar las manifestaciones clínicas más frecuentes en los pacientes graves.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-Comparar los niveles del coma.</w:t>
            </w:r>
          </w:p>
          <w:p w:rsidR="00260A7F" w:rsidRPr="00260A7F" w:rsidRDefault="00260A7F" w:rsidP="00260A7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Utilizar la escala de Glasgow para valorar al paciente en estado de coma.  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-Analizar la importancia del Monitoraje eléctrico para la valoración de enfermería en el paciente grave.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-Diferenciar el Monitoraje invasivo del no invasivo.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-Aplicar Monitoraje eléctrico invasivo y no invasivo al paciente grave.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-Interpretar el resultado de los registros en relación con el problema de salud del paciente grave.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-Aplicar cuidados de enfermería a pacientes con monitorización eléctrica.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-Improvisar el equipo para la medición de la PVC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-Realizar la medición de la PVC.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-Interpretar el resultado de la PVC en relación con el problema de salud del paciente.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-Analizar la importancia de la monitorización hemodinámica para la valoración de enfermería en el paciente grave.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-Realizar la medición de la presión auricular derecha, la presión arterial pulmonar, la presión arterial pulmonar en cuña y la PVC mediante el catéter de flotación.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-Interpretar el resultado del registro de las presiones obtenidas mediante el catéter de flotación en relación con el problema de salud del paciente.</w:t>
            </w:r>
          </w:p>
          <w:p w:rsidR="00260A7F" w:rsidRPr="00260A7F" w:rsidRDefault="00260A7F" w:rsidP="00260A7F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-Realizar la medición del gasto cardíaco mediante la técnica de termodilusión.</w:t>
            </w:r>
          </w:p>
          <w:p w:rsidR="00260A7F" w:rsidRPr="00260A7F" w:rsidRDefault="00260A7F" w:rsidP="00260A7F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-Interpretar el resultado del registro del gasto cardíaco en relación con el problema de salud del paciente.</w:t>
            </w:r>
          </w:p>
          <w:p w:rsidR="00260A7F" w:rsidRPr="00260A7F" w:rsidRDefault="00260A7F" w:rsidP="00260A7F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-Aplicar cuidados de enfermería al paciente con catéter de flotación.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-Valorar el estado psicológico del paciente mediante la exploración de </w:t>
            </w: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manifestaciones subjetivas, capacidad de atención, concentración, orientación en espacio y tiempo, memoria reciente y capacidad de comprensión de las orientaciones.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-Identificar las reacciones patológicas.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-Diagnosticar las reacciones psicológicas más frecuentes en los pacientes graves.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-Tratar las alteraciones psíquicas del paciente grave mediante técnicas psicoterapéuticas. </w:t>
            </w:r>
          </w:p>
          <w:p w:rsidR="00260A7F" w:rsidRPr="00260A7F" w:rsidRDefault="00260A7F" w:rsidP="00260A7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-Aplicar la psicoprofilaxis en los cuidados al paciente grave. </w:t>
            </w:r>
          </w:p>
          <w:p w:rsidR="00260A7F" w:rsidRDefault="00260A7F" w:rsidP="00260A7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60A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-Evaluar la esfera psicológica del paciente con estado de salud grave y los resultados esperados de la conducta psicoterapéutica.</w:t>
            </w:r>
          </w:p>
          <w:p w:rsidR="00260A7F" w:rsidRDefault="00260A7F" w:rsidP="00260A7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60A7F" w:rsidRDefault="00260A7F" w:rsidP="00260A7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60A7F" w:rsidRDefault="00260A7F" w:rsidP="00260A7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60A7F" w:rsidRPr="00260A7F" w:rsidRDefault="00260A7F" w:rsidP="00260A7F">
            <w:pPr>
              <w:rPr>
                <w:sz w:val="20"/>
                <w:szCs w:val="20"/>
              </w:rPr>
            </w:pPr>
          </w:p>
        </w:tc>
      </w:tr>
      <w:tr w:rsidR="00260A7F" w:rsidTr="00897DF5">
        <w:trPr>
          <w:trHeight w:val="259"/>
        </w:trPr>
        <w:tc>
          <w:tcPr>
            <w:tcW w:w="15020" w:type="dxa"/>
            <w:gridSpan w:val="16"/>
          </w:tcPr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lastRenderedPageBreak/>
              <w:t>Es el método empleado por la ciencia para proporcionar una forma sistematizada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47">
              <w:rPr>
                <w:rFonts w:ascii="Arial" w:hAnsi="Arial" w:cs="Arial"/>
                <w:sz w:val="20"/>
                <w:szCs w:val="20"/>
              </w:rPr>
              <w:t>especial del pensamiento y facilitar el cuestionamiento reflexivo; este es sinónimo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de razonamiento, habilidad compleja, altamente individualizada que implica distintas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47">
              <w:rPr>
                <w:rFonts w:ascii="Arial" w:hAnsi="Arial" w:cs="Arial"/>
                <w:sz w:val="20"/>
                <w:szCs w:val="20"/>
              </w:rPr>
              <w:t>ideas, emociones y percepciones.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En la dimensión del razonamiento científico se aplica: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- La lógica. Mediante el empleo del enfoque lógico, organizado y consciente 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47">
              <w:rPr>
                <w:rFonts w:ascii="Arial" w:hAnsi="Arial" w:cs="Arial"/>
                <w:sz w:val="20"/>
                <w:szCs w:val="20"/>
              </w:rPr>
              <w:t>puede comprender el procedimiento del razonamiento, al constituir la fuente que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tiene el ser humano para aprender.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- La competencia. Se realiza por medio de la adquisición y actualización de la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47">
              <w:rPr>
                <w:rFonts w:ascii="Arial" w:hAnsi="Arial" w:cs="Arial"/>
                <w:sz w:val="20"/>
                <w:szCs w:val="20"/>
              </w:rPr>
              <w:t>del conocimiento mediante las experiencias de la propia práctica clínica.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- La flexibilidad. Permite acomodarse a razonamientos e ideas divergentes.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- La creatividad. Mediante un pensamiento creativo que promueva la curiosidad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47">
              <w:rPr>
                <w:rFonts w:ascii="Arial" w:hAnsi="Arial" w:cs="Arial"/>
                <w:sz w:val="20"/>
                <w:szCs w:val="20"/>
              </w:rPr>
              <w:t>el desarrollo de estrategias innovadoras.</w:t>
            </w:r>
          </w:p>
          <w:p w:rsidR="00C12447" w:rsidRPr="00C12447" w:rsidRDefault="00C12447" w:rsidP="00C12447">
            <w:pPr>
              <w:rPr>
                <w:rFonts w:ascii="Arial" w:hAnsi="Arial" w:cs="Arial"/>
                <w:sz w:val="20"/>
                <w:szCs w:val="20"/>
              </w:rPr>
            </w:pPr>
            <w:r w:rsidRPr="00C12447">
              <w:rPr>
                <w:rFonts w:ascii="Arial" w:hAnsi="Arial" w:cs="Arial"/>
                <w:sz w:val="20"/>
                <w:szCs w:val="20"/>
              </w:rPr>
              <w:t>- La iniciativa. Se emplea mediante el estímulo de la actuación precoz y el razonamiento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47">
              <w:rPr>
                <w:rFonts w:ascii="Arial" w:hAnsi="Arial" w:cs="Arial"/>
                <w:sz w:val="20"/>
                <w:szCs w:val="20"/>
              </w:rPr>
              <w:t>creativo.</w:t>
            </w:r>
          </w:p>
          <w:p w:rsidR="00260A7F" w:rsidRDefault="00C12447" w:rsidP="00C12447">
            <w:r w:rsidRPr="00C12447">
              <w:rPr>
                <w:rFonts w:ascii="Arial" w:hAnsi="Arial" w:cs="Arial"/>
                <w:sz w:val="20"/>
                <w:szCs w:val="20"/>
              </w:rPr>
              <w:t>- La comunicación. Se desarrolla mediante la interrelación verbal y no verbal.</w:t>
            </w:r>
          </w:p>
        </w:tc>
      </w:tr>
      <w:tr w:rsidR="00C12447" w:rsidTr="00C917B0">
        <w:trPr>
          <w:trHeight w:val="244"/>
        </w:trPr>
        <w:tc>
          <w:tcPr>
            <w:tcW w:w="15020" w:type="dxa"/>
            <w:gridSpan w:val="16"/>
          </w:tcPr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Todo paciente que ingresa en una Unidad de Cuidados Progresivos padece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una enfermedad aguda o crónica que afecta sus necesidades básicas, a tal punto,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que pueden poner en peligro la vida. La supervivencia y la disminución de la morbilidad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dependen en gran medida de la rápida identificación de las alteraciones que puedan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aparecer durante el proceso de la afección.</w:t>
            </w:r>
          </w:p>
          <w:p w:rsid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El examen físico es la clave fundamental para un buen diagnóstico, unido al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empleo creciente de modernos equipos, computadoras, catéteres y técnicas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novedosas, lo que permite una valoración más completa sobre las funciones vitales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y obliga al personal de salud a una constante superación, para enriquecer sus conocimientos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en la utilización y limitación de estos instrumentos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  <w:b/>
              </w:rPr>
              <w:t>La valoración continua</w:t>
            </w:r>
            <w:r w:rsidRPr="00C12447">
              <w:rPr>
                <w:rFonts w:ascii="Arial" w:hAnsi="Arial" w:cs="Arial"/>
              </w:rPr>
              <w:t xml:space="preserve"> del enfermo en estado de salud grave o crítico, es un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elemento esencial que aporta los datos básicos para la planificación y ejecución de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los cuidados de enfermería; encaminada a conseguir la estabilidad del estado de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salud del paciente. La valoración continua se define como la actitud de control que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adopta el colectivo de trabajo y particularmente, el personal de enfermería que se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desempeña en los servicios de atención al enfermo grave, tanto en el monitoreo de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las funciones vitales del paciente, como del funcionamiento de los equipos empleados.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Para aplicarla emplea métodos clínicos, electrónicos, investigaciones complementarias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y procedimientos técnicos; en otras palabras, engloba todas las conclusiones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acerca del estado de salud.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La valoración continua tiene como objetivos: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1. Detectar tempranamente alteraciones en las esferas vitales, de manera que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puedan ser rápidamente corregidas.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2. Constatar de forma precoz las reacciones derivadas de la terapéutica.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3. Valorar los resultados de las investigaciones complementarias realizadas</w:t>
            </w:r>
          </w:p>
          <w:p w:rsidR="00C12447" w:rsidRP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4. Valorar periódicamente el funcionamiento de los equipos empleados, e interpretar</w:t>
            </w:r>
            <w:r>
              <w:rPr>
                <w:rFonts w:ascii="Arial" w:hAnsi="Arial" w:cs="Arial"/>
              </w:rPr>
              <w:t xml:space="preserve"> </w:t>
            </w:r>
            <w:r w:rsidRPr="00C12447">
              <w:rPr>
                <w:rFonts w:ascii="Arial" w:hAnsi="Arial" w:cs="Arial"/>
              </w:rPr>
              <w:t>de forma correcta el sistema de alarma de estos.</w:t>
            </w:r>
          </w:p>
          <w:p w:rsidR="00C12447" w:rsidRDefault="00C12447" w:rsidP="00C12447">
            <w:pPr>
              <w:rPr>
                <w:rFonts w:ascii="Arial" w:hAnsi="Arial" w:cs="Arial"/>
              </w:rPr>
            </w:pPr>
            <w:r w:rsidRPr="00C12447">
              <w:rPr>
                <w:rFonts w:ascii="Arial" w:hAnsi="Arial" w:cs="Arial"/>
              </w:rPr>
              <w:t>5. Contribuir al diagnóstico, tratamiento y pronóstico del paciente.</w:t>
            </w: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Default="004949FC" w:rsidP="00C12447">
            <w:pPr>
              <w:rPr>
                <w:rFonts w:ascii="Arial" w:hAnsi="Arial" w:cs="Arial"/>
              </w:rPr>
            </w:pPr>
          </w:p>
          <w:p w:rsidR="004949FC" w:rsidRPr="00C12447" w:rsidRDefault="004949FC" w:rsidP="00C12447">
            <w:pPr>
              <w:rPr>
                <w:rFonts w:ascii="Arial" w:hAnsi="Arial" w:cs="Arial"/>
              </w:rPr>
            </w:pPr>
          </w:p>
        </w:tc>
      </w:tr>
      <w:tr w:rsidR="004949FC" w:rsidTr="00DE619F">
        <w:trPr>
          <w:trHeight w:val="259"/>
        </w:trPr>
        <w:tc>
          <w:tcPr>
            <w:tcW w:w="15020" w:type="dxa"/>
            <w:gridSpan w:val="16"/>
          </w:tcPr>
          <w:p w:rsidR="004949FC" w:rsidRPr="004949FC" w:rsidRDefault="004949F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</w:t>
            </w:r>
            <w:r w:rsidRPr="004949FC">
              <w:rPr>
                <w:rFonts w:ascii="Arial" w:hAnsi="Arial" w:cs="Arial"/>
                <w:color w:val="231F20"/>
              </w:rPr>
              <w:t>Tipos de monitorización</w:t>
            </w:r>
          </w:p>
        </w:tc>
      </w:tr>
      <w:tr w:rsidR="00F151F7" w:rsidTr="00006DEE">
        <w:trPr>
          <w:trHeight w:val="259"/>
        </w:trPr>
        <w:tc>
          <w:tcPr>
            <w:tcW w:w="2217" w:type="dxa"/>
          </w:tcPr>
          <w:p w:rsidR="00F151F7" w:rsidRPr="004949FC" w:rsidRDefault="00F151F7">
            <w:pPr>
              <w:rPr>
                <w:rFonts w:ascii="Arial" w:hAnsi="Arial" w:cs="Arial"/>
              </w:rPr>
            </w:pPr>
            <w:r w:rsidRPr="004949FC">
              <w:rPr>
                <w:rFonts w:ascii="Arial" w:hAnsi="Arial" w:cs="Arial"/>
                <w:color w:val="231F20"/>
              </w:rPr>
              <w:t>Del paciente</w:t>
            </w:r>
          </w:p>
        </w:tc>
        <w:tc>
          <w:tcPr>
            <w:tcW w:w="5275" w:type="dxa"/>
            <w:gridSpan w:val="7"/>
          </w:tcPr>
          <w:p w:rsidR="00F151F7" w:rsidRPr="004949FC" w:rsidRDefault="00F151F7">
            <w:pPr>
              <w:rPr>
                <w:rFonts w:ascii="Arial" w:hAnsi="Arial" w:cs="Arial"/>
              </w:rPr>
            </w:pPr>
            <w:r w:rsidRPr="004949FC">
              <w:rPr>
                <w:rFonts w:ascii="Arial" w:hAnsi="Arial" w:cs="Arial"/>
                <w:color w:val="231F20"/>
              </w:rPr>
              <w:t>Monitoraje clínico</w:t>
            </w:r>
          </w:p>
        </w:tc>
        <w:tc>
          <w:tcPr>
            <w:tcW w:w="7528" w:type="dxa"/>
            <w:gridSpan w:val="8"/>
          </w:tcPr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Interrogatorio y examen físico</w:t>
            </w:r>
          </w:p>
          <w:p w:rsidR="00F151F7" w:rsidRDefault="00F151F7">
            <w:r w:rsidRPr="004949FC">
              <w:rPr>
                <w:rFonts w:ascii="Arial" w:hAnsi="Arial" w:cs="Arial"/>
                <w:color w:val="231F20"/>
              </w:rPr>
              <w:t>Signos vitales.</w:t>
            </w:r>
          </w:p>
        </w:tc>
      </w:tr>
      <w:tr w:rsidR="00F151F7" w:rsidTr="00006DEE">
        <w:trPr>
          <w:trHeight w:val="259"/>
        </w:trPr>
        <w:tc>
          <w:tcPr>
            <w:tcW w:w="2217" w:type="dxa"/>
          </w:tcPr>
          <w:p w:rsidR="00F151F7" w:rsidRPr="004949FC" w:rsidRDefault="00F151F7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gridSpan w:val="7"/>
          </w:tcPr>
          <w:p w:rsidR="00F151F7" w:rsidRPr="004949FC" w:rsidRDefault="00F151F7">
            <w:pPr>
              <w:rPr>
                <w:rFonts w:ascii="Arial" w:hAnsi="Arial" w:cs="Arial"/>
              </w:rPr>
            </w:pPr>
            <w:r w:rsidRPr="004949FC">
              <w:rPr>
                <w:rFonts w:ascii="Arial" w:hAnsi="Arial" w:cs="Arial"/>
                <w:color w:val="231F20"/>
              </w:rPr>
              <w:t>Monitoraje electrónico</w:t>
            </w:r>
          </w:p>
        </w:tc>
        <w:tc>
          <w:tcPr>
            <w:tcW w:w="7528" w:type="dxa"/>
            <w:gridSpan w:val="8"/>
          </w:tcPr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Actividad eléctrica del corazón (ECG).</w:t>
            </w:r>
          </w:p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Frecuencia cardíaca y respiratoria.</w:t>
            </w:r>
          </w:p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Temperatura.</w:t>
            </w:r>
          </w:p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Presiones hemodinámicas.</w:t>
            </w:r>
          </w:p>
          <w:p w:rsidR="00F151F7" w:rsidRPr="00006DEE" w:rsidRDefault="00F151F7" w:rsidP="00006DE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Presión parcial de oxígeno y dióxido de</w:t>
            </w:r>
            <w:r w:rsidR="00006DEE">
              <w:rPr>
                <w:rFonts w:ascii="Arial" w:hAnsi="Arial" w:cs="Arial"/>
                <w:color w:val="231F20"/>
              </w:rPr>
              <w:t xml:space="preserve"> </w:t>
            </w:r>
            <w:r w:rsidRPr="004949FC">
              <w:rPr>
                <w:rFonts w:ascii="Arial" w:hAnsi="Arial" w:cs="Arial"/>
                <w:color w:val="231F20"/>
              </w:rPr>
              <w:t>carbono.</w:t>
            </w:r>
          </w:p>
        </w:tc>
      </w:tr>
      <w:tr w:rsidR="00F151F7" w:rsidTr="00006DEE">
        <w:trPr>
          <w:trHeight w:val="259"/>
        </w:trPr>
        <w:tc>
          <w:tcPr>
            <w:tcW w:w="2217" w:type="dxa"/>
          </w:tcPr>
          <w:p w:rsidR="00F151F7" w:rsidRPr="004949FC" w:rsidRDefault="00F151F7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gridSpan w:val="7"/>
          </w:tcPr>
          <w:p w:rsidR="00F151F7" w:rsidRPr="004949FC" w:rsidRDefault="00F151F7">
            <w:pPr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Monitoraje mediante diferentes laboratorios</w:t>
            </w:r>
          </w:p>
          <w:p w:rsidR="00F151F7" w:rsidRPr="004949FC" w:rsidRDefault="00F151F7">
            <w:pPr>
              <w:rPr>
                <w:rFonts w:ascii="Arial" w:hAnsi="Arial" w:cs="Arial"/>
              </w:rPr>
            </w:pPr>
            <w:r w:rsidRPr="004949FC">
              <w:rPr>
                <w:rFonts w:ascii="Arial" w:hAnsi="Arial" w:cs="Arial"/>
                <w:color w:val="231F20"/>
              </w:rPr>
              <w:t>Monitoraje combinado</w:t>
            </w:r>
          </w:p>
        </w:tc>
        <w:tc>
          <w:tcPr>
            <w:tcW w:w="7528" w:type="dxa"/>
            <w:gridSpan w:val="8"/>
          </w:tcPr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Pruebas o investigaciones invasivas.</w:t>
            </w:r>
          </w:p>
          <w:p w:rsidR="00F151F7" w:rsidRPr="004949FC" w:rsidRDefault="00F151F7" w:rsidP="00C1244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Pruebas o investigaciones no invasivas.</w:t>
            </w:r>
          </w:p>
          <w:p w:rsidR="00F151F7" w:rsidRPr="00F151F7" w:rsidRDefault="00F151F7" w:rsidP="00F151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Se combinan monitoraje clínico,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949FC">
              <w:rPr>
                <w:rFonts w:ascii="Arial" w:hAnsi="Arial" w:cs="Arial"/>
                <w:color w:val="231F20"/>
              </w:rPr>
              <w:t>electrónico y de laboratorio para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949FC">
              <w:rPr>
                <w:rFonts w:ascii="Arial" w:hAnsi="Arial" w:cs="Arial"/>
                <w:color w:val="231F20"/>
              </w:rPr>
              <w:t>valorar las funciones de los distintos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949FC">
              <w:rPr>
                <w:rFonts w:ascii="Arial" w:hAnsi="Arial" w:cs="Arial"/>
                <w:color w:val="231F20"/>
              </w:rPr>
              <w:t xml:space="preserve">sistemas (neurológico, </w:t>
            </w:r>
            <w:r w:rsidR="00006DEE" w:rsidRPr="004949FC">
              <w:rPr>
                <w:rFonts w:ascii="Arial" w:hAnsi="Arial" w:cs="Arial"/>
                <w:color w:val="231F20"/>
              </w:rPr>
              <w:t>respiratorio, cardiovascular</w:t>
            </w:r>
            <w:r w:rsidRPr="004949FC">
              <w:rPr>
                <w:rFonts w:ascii="Arial" w:hAnsi="Arial" w:cs="Arial"/>
                <w:color w:val="231F20"/>
              </w:rPr>
              <w:t>, genitourinario, entre otros)</w:t>
            </w:r>
          </w:p>
        </w:tc>
      </w:tr>
      <w:tr w:rsidR="00006DEE" w:rsidTr="00C20254">
        <w:trPr>
          <w:trHeight w:val="259"/>
        </w:trPr>
        <w:tc>
          <w:tcPr>
            <w:tcW w:w="2217" w:type="dxa"/>
          </w:tcPr>
          <w:p w:rsidR="00006DEE" w:rsidRPr="004949FC" w:rsidRDefault="00006DEE" w:rsidP="004949F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De los equipos  empleados</w:t>
            </w:r>
          </w:p>
        </w:tc>
        <w:tc>
          <w:tcPr>
            <w:tcW w:w="5275" w:type="dxa"/>
            <w:gridSpan w:val="7"/>
          </w:tcPr>
          <w:p w:rsidR="00006DEE" w:rsidRPr="004949FC" w:rsidRDefault="00006DEE" w:rsidP="004949F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Monitoreo del funcionamiento del equipo.</w:t>
            </w:r>
          </w:p>
          <w:p w:rsidR="00006DEE" w:rsidRPr="004949FC" w:rsidRDefault="00006DEE" w:rsidP="004949F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949FC">
              <w:rPr>
                <w:rFonts w:ascii="Arial" w:hAnsi="Arial" w:cs="Arial"/>
                <w:color w:val="231F20"/>
              </w:rPr>
              <w:t>Monitoreo de su influencia en el paciente.</w:t>
            </w:r>
          </w:p>
          <w:p w:rsidR="00006DEE" w:rsidRPr="004949FC" w:rsidRDefault="00006DEE" w:rsidP="004949FC">
            <w:pPr>
              <w:rPr>
                <w:rFonts w:ascii="Arial" w:hAnsi="Arial" w:cs="Arial"/>
              </w:rPr>
            </w:pPr>
            <w:r w:rsidRPr="004949FC">
              <w:rPr>
                <w:rFonts w:ascii="Arial" w:hAnsi="Arial" w:cs="Arial"/>
                <w:color w:val="231F20"/>
              </w:rPr>
              <w:t>Monitoreo del sistema de alarma.</w:t>
            </w:r>
          </w:p>
        </w:tc>
        <w:tc>
          <w:tcPr>
            <w:tcW w:w="7528" w:type="dxa"/>
            <w:gridSpan w:val="8"/>
          </w:tcPr>
          <w:p w:rsidR="00006DEE" w:rsidRDefault="00006DEE"/>
        </w:tc>
      </w:tr>
      <w:tr w:rsidR="004949FC" w:rsidTr="00F254B4">
        <w:trPr>
          <w:trHeight w:val="259"/>
        </w:trPr>
        <w:tc>
          <w:tcPr>
            <w:tcW w:w="15020" w:type="dxa"/>
            <w:gridSpan w:val="16"/>
          </w:tcPr>
          <w:p w:rsidR="004949FC" w:rsidRPr="004949FC" w:rsidRDefault="004949FC" w:rsidP="004949FC">
            <w:pPr>
              <w:rPr>
                <w:rFonts w:ascii="Arial" w:hAnsi="Arial" w:cs="Arial"/>
                <w:b/>
                <w:bCs/>
              </w:rPr>
            </w:pPr>
            <w:r w:rsidRPr="004949FC">
              <w:rPr>
                <w:rFonts w:ascii="Arial" w:hAnsi="Arial" w:cs="Arial"/>
                <w:b/>
                <w:bCs/>
              </w:rPr>
              <w:t>Monitoraje clínico</w:t>
            </w:r>
          </w:p>
          <w:p w:rsidR="002A124B" w:rsidRPr="00F151F7" w:rsidRDefault="004949FC" w:rsidP="004949FC">
            <w:r w:rsidRPr="004949FC">
              <w:rPr>
                <w:rFonts w:ascii="Arial" w:hAnsi="Arial" w:cs="Arial"/>
              </w:rPr>
              <w:t>La valoración clínica es el instrumento de trabajo más valioso en la atención</w:t>
            </w:r>
            <w:r>
              <w:rPr>
                <w:rFonts w:ascii="Arial" w:hAnsi="Arial" w:cs="Arial"/>
              </w:rPr>
              <w:t xml:space="preserve"> </w:t>
            </w:r>
            <w:r w:rsidRPr="004949FC">
              <w:rPr>
                <w:rFonts w:ascii="Arial" w:hAnsi="Arial" w:cs="Arial"/>
              </w:rPr>
              <w:t>del paciente grave y permite identificar síntomas y signos importantes para evaluar</w:t>
            </w:r>
            <w:r>
              <w:rPr>
                <w:rFonts w:ascii="Arial" w:hAnsi="Arial" w:cs="Arial"/>
              </w:rPr>
              <w:t xml:space="preserve"> </w:t>
            </w:r>
            <w:r w:rsidRPr="004949FC">
              <w:rPr>
                <w:rFonts w:ascii="Arial" w:hAnsi="Arial" w:cs="Arial"/>
              </w:rPr>
              <w:t>el diagnostico, evolución, tratamiento y pronóstico del paciente. Resulta importante</w:t>
            </w:r>
            <w:r>
              <w:rPr>
                <w:rFonts w:ascii="Arial" w:hAnsi="Arial" w:cs="Arial"/>
              </w:rPr>
              <w:t xml:space="preserve"> </w:t>
            </w:r>
            <w:r w:rsidRPr="004949FC">
              <w:rPr>
                <w:rFonts w:ascii="Arial" w:hAnsi="Arial" w:cs="Arial"/>
              </w:rPr>
              <w:t>recordar, que aunque en muchas ocasiones se depende del empleo de equipos</w:t>
            </w:r>
            <w:r>
              <w:rPr>
                <w:rFonts w:ascii="Arial" w:hAnsi="Arial" w:cs="Arial"/>
              </w:rPr>
              <w:t xml:space="preserve"> </w:t>
            </w:r>
            <w:r w:rsidRPr="004949FC">
              <w:rPr>
                <w:rFonts w:ascii="Arial" w:hAnsi="Arial" w:cs="Arial"/>
              </w:rPr>
              <w:t>(muchos de ellos electrónicos), la observación clínica es un instrumento insuperable,</w:t>
            </w:r>
            <w:r>
              <w:rPr>
                <w:rFonts w:ascii="Arial" w:hAnsi="Arial" w:cs="Arial"/>
              </w:rPr>
              <w:t xml:space="preserve"> </w:t>
            </w:r>
            <w:r w:rsidRPr="004949FC">
              <w:rPr>
                <w:rFonts w:ascii="Arial" w:hAnsi="Arial" w:cs="Arial"/>
              </w:rPr>
              <w:t>pues el monitor puede alertar, por ejemplo, un aumento de la frecuencia cardíaca,</w:t>
            </w:r>
            <w:r>
              <w:rPr>
                <w:rFonts w:ascii="Arial" w:hAnsi="Arial" w:cs="Arial"/>
              </w:rPr>
              <w:t xml:space="preserve"> </w:t>
            </w:r>
            <w:r w:rsidRPr="004949FC">
              <w:rPr>
                <w:rFonts w:ascii="Arial" w:hAnsi="Arial" w:cs="Arial"/>
              </w:rPr>
              <w:t>pero sólo la exploración puede alertar sobre la causa que la produce</w:t>
            </w:r>
            <w:r w:rsidRPr="004949FC">
              <w:t>.</w:t>
            </w:r>
          </w:p>
        </w:tc>
      </w:tr>
      <w:tr w:rsidR="002A124B" w:rsidTr="00F254B4">
        <w:trPr>
          <w:trHeight w:val="259"/>
        </w:trPr>
        <w:tc>
          <w:tcPr>
            <w:tcW w:w="15020" w:type="dxa"/>
            <w:gridSpan w:val="16"/>
          </w:tcPr>
          <w:p w:rsidR="002A124B" w:rsidRPr="00F151F7" w:rsidRDefault="002A124B" w:rsidP="00123C9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2A124B">
              <w:rPr>
                <w:rFonts w:ascii="Arial" w:hAnsi="Arial" w:cs="Arial"/>
                <w:b/>
                <w:color w:val="231F20"/>
              </w:rPr>
              <w:t>La escala de coma Glasgow (CGS</w:t>
            </w:r>
            <w:r w:rsidRPr="002A124B">
              <w:rPr>
                <w:rFonts w:ascii="Arial" w:hAnsi="Arial" w:cs="Arial"/>
                <w:color w:val="231F20"/>
              </w:rPr>
              <w:t>) consis</w:t>
            </w:r>
            <w:r>
              <w:rPr>
                <w:rFonts w:ascii="Arial" w:hAnsi="Arial" w:cs="Arial"/>
                <w:color w:val="231F20"/>
              </w:rPr>
              <w:t>te en un sistema numérico en el</w:t>
            </w:r>
            <w:r w:rsidR="00123C92">
              <w:rPr>
                <w:rFonts w:ascii="Arial" w:hAnsi="Arial" w:cs="Arial"/>
                <w:color w:val="231F20"/>
              </w:rPr>
              <w:t xml:space="preserve"> </w:t>
            </w:r>
            <w:r w:rsidRPr="002A124B">
              <w:rPr>
                <w:rFonts w:ascii="Arial" w:hAnsi="Arial" w:cs="Arial"/>
                <w:color w:val="231F20"/>
              </w:rPr>
              <w:t>que se evalúa el estado de</w:t>
            </w:r>
            <w:r>
              <w:rPr>
                <w:rFonts w:ascii="Arial" w:hAnsi="Arial" w:cs="Arial"/>
                <w:color w:val="231F20"/>
              </w:rPr>
              <w:t>, basado en</w:t>
            </w:r>
            <w:r w:rsidR="009A3D80">
              <w:rPr>
                <w:rFonts w:ascii="Arial" w:hAnsi="Arial" w:cs="Arial"/>
                <w:color w:val="231F20"/>
              </w:rPr>
              <w:t xml:space="preserve"> </w:t>
            </w:r>
            <w:r w:rsidRPr="002A124B">
              <w:rPr>
                <w:rFonts w:ascii="Arial" w:hAnsi="Arial" w:cs="Arial"/>
                <w:color w:val="231F20"/>
              </w:rPr>
              <w:t xml:space="preserve">tres variables de respuestas: apertura ocular, </w:t>
            </w:r>
            <w:r>
              <w:rPr>
                <w:rFonts w:ascii="Arial" w:hAnsi="Arial" w:cs="Arial"/>
                <w:color w:val="231F20"/>
              </w:rPr>
              <w:t>verbal y motora. Se obtiene por</w:t>
            </w:r>
            <w:r w:rsidRPr="002A124B">
              <w:rPr>
                <w:rFonts w:ascii="Arial" w:hAnsi="Arial" w:cs="Arial"/>
                <w:color w:val="231F20"/>
              </w:rPr>
              <w:t>su sumatoria, con el resultado entre 3 y 15</w:t>
            </w:r>
            <w:r>
              <w:rPr>
                <w:rFonts w:ascii="Arial" w:hAnsi="Arial" w:cs="Arial"/>
                <w:color w:val="231F20"/>
              </w:rPr>
              <w:t xml:space="preserve"> puntos según la severidad. Los</w:t>
            </w:r>
            <w:r w:rsidR="009A3D80">
              <w:rPr>
                <w:rFonts w:ascii="Arial" w:hAnsi="Arial" w:cs="Arial"/>
                <w:color w:val="231F20"/>
              </w:rPr>
              <w:t xml:space="preserve"> </w:t>
            </w:r>
            <w:r w:rsidRPr="002A124B">
              <w:rPr>
                <w:rFonts w:ascii="Arial" w:hAnsi="Arial" w:cs="Arial"/>
                <w:color w:val="231F20"/>
              </w:rPr>
              <w:t>valores mínimos se interpretan como los de mayor daño y de peor pronóstico.(Tabla 7.2)</w:t>
            </w:r>
          </w:p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Respuesta de apertura ocular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 w:rsidP="009A3D80">
            <w:pPr>
              <w:rPr>
                <w:rFonts w:ascii="Arial" w:hAnsi="Arial" w:cs="Arial"/>
              </w:rPr>
            </w:pPr>
            <w:r w:rsidRPr="009A3D80">
              <w:rPr>
                <w:rFonts w:ascii="Arial" w:hAnsi="Arial" w:cs="Arial"/>
                <w:color w:val="231F20"/>
              </w:rPr>
              <w:t>Ptos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</w:rPr>
            </w:pPr>
            <w:r w:rsidRPr="009A3D80">
              <w:rPr>
                <w:rFonts w:ascii="Arial" w:hAnsi="Arial" w:cs="Arial"/>
                <w:color w:val="231F20"/>
              </w:rPr>
              <w:t>Respuesta Verbal.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 w:rsidP="001E6E58">
            <w:pPr>
              <w:ind w:left="8"/>
              <w:rPr>
                <w:rFonts w:ascii="Arial" w:hAnsi="Arial" w:cs="Arial"/>
              </w:rPr>
            </w:pPr>
            <w:r w:rsidRPr="009A3D80">
              <w:rPr>
                <w:rFonts w:ascii="Arial" w:hAnsi="Arial" w:cs="Arial"/>
                <w:color w:val="231F20"/>
              </w:rPr>
              <w:t>Ptos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</w:rPr>
            </w:pPr>
            <w:r w:rsidRPr="009A3D80">
              <w:rPr>
                <w:rFonts w:ascii="Arial" w:hAnsi="Arial" w:cs="Arial"/>
                <w:color w:val="231F20"/>
              </w:rPr>
              <w:t>Respuesta Motora.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 w:rsidP="001E6E58">
            <w:pPr>
              <w:ind w:left="149"/>
              <w:rPr>
                <w:rFonts w:ascii="Arial" w:hAnsi="Arial" w:cs="Arial"/>
              </w:rPr>
            </w:pPr>
            <w:r w:rsidRPr="009A3D80">
              <w:rPr>
                <w:rFonts w:ascii="Arial" w:hAnsi="Arial" w:cs="Arial"/>
                <w:color w:val="231F20"/>
              </w:rPr>
              <w:t>Ptos</w:t>
            </w:r>
          </w:p>
        </w:tc>
        <w:tc>
          <w:tcPr>
            <w:tcW w:w="3686" w:type="dxa"/>
            <w:gridSpan w:val="2"/>
            <w:vMerge w:val="restart"/>
          </w:tcPr>
          <w:p w:rsidR="00006DEE" w:rsidRDefault="00006DEE"/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Espontánea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Orientada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Obedece ordenes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6</w:t>
            </w:r>
          </w:p>
        </w:tc>
        <w:tc>
          <w:tcPr>
            <w:tcW w:w="3686" w:type="dxa"/>
            <w:gridSpan w:val="2"/>
            <w:vMerge/>
          </w:tcPr>
          <w:p w:rsidR="00006DEE" w:rsidRDefault="00006DEE"/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A la voz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Confusa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Localiza dolor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3686" w:type="dxa"/>
            <w:gridSpan w:val="2"/>
            <w:vMerge/>
          </w:tcPr>
          <w:p w:rsidR="00006DEE" w:rsidRDefault="00006DEE"/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Al dolor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Palabras inapropiadas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Se retira al dolor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3686" w:type="dxa"/>
            <w:gridSpan w:val="2"/>
            <w:vMerge/>
          </w:tcPr>
          <w:p w:rsidR="00006DEE" w:rsidRDefault="00006DEE"/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Ninguna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Sonidos incomprensibles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Flexión anormal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3686" w:type="dxa"/>
            <w:gridSpan w:val="2"/>
            <w:vMerge/>
          </w:tcPr>
          <w:p w:rsidR="00006DEE" w:rsidRDefault="00006DEE"/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Ninguna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Extensión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3686" w:type="dxa"/>
            <w:gridSpan w:val="2"/>
            <w:vMerge/>
          </w:tcPr>
          <w:p w:rsidR="00006DEE" w:rsidRDefault="00006DEE"/>
        </w:tc>
      </w:tr>
      <w:tr w:rsidR="00006DEE" w:rsidTr="009A3D80">
        <w:trPr>
          <w:trHeight w:val="25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006DEE" w:rsidRPr="009A3D80" w:rsidRDefault="00006DEE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Ninguna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6DEE" w:rsidRPr="009A3D80" w:rsidRDefault="00006DEE" w:rsidP="00AB7517">
            <w:pPr>
              <w:rPr>
                <w:rFonts w:ascii="Arial" w:hAnsi="Arial" w:cs="Arial"/>
                <w:color w:val="231F20"/>
              </w:rPr>
            </w:pPr>
            <w:r w:rsidRPr="009A3D80"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3686" w:type="dxa"/>
            <w:gridSpan w:val="2"/>
            <w:vMerge/>
          </w:tcPr>
          <w:p w:rsidR="00006DEE" w:rsidRDefault="00006DEE"/>
        </w:tc>
      </w:tr>
      <w:tr w:rsidR="00006DEE" w:rsidTr="00006DEE">
        <w:trPr>
          <w:trHeight w:val="259"/>
        </w:trPr>
        <w:tc>
          <w:tcPr>
            <w:tcW w:w="5495" w:type="dxa"/>
            <w:gridSpan w:val="5"/>
          </w:tcPr>
          <w:p w:rsidR="00006DEE" w:rsidRPr="00F151F7" w:rsidRDefault="00006DEE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Temperatura</w:t>
            </w:r>
          </w:p>
        </w:tc>
        <w:tc>
          <w:tcPr>
            <w:tcW w:w="2693" w:type="dxa"/>
            <w:gridSpan w:val="5"/>
          </w:tcPr>
          <w:p w:rsidR="00006DEE" w:rsidRPr="00F151F7" w:rsidRDefault="00006DEE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Frecuencia respiratoria</w:t>
            </w:r>
          </w:p>
        </w:tc>
        <w:tc>
          <w:tcPr>
            <w:tcW w:w="2268" w:type="dxa"/>
            <w:gridSpan w:val="2"/>
          </w:tcPr>
          <w:p w:rsidR="00006DEE" w:rsidRPr="00F151F7" w:rsidRDefault="00006DEE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Frecuencia cardíaca</w:t>
            </w:r>
          </w:p>
        </w:tc>
        <w:tc>
          <w:tcPr>
            <w:tcW w:w="4564" w:type="dxa"/>
            <w:gridSpan w:val="4"/>
          </w:tcPr>
          <w:p w:rsidR="00006DEE" w:rsidRDefault="00006DEE">
            <w:r w:rsidRPr="00F151F7">
              <w:rPr>
                <w:rFonts w:ascii="Arial" w:hAnsi="Arial" w:cs="Arial"/>
                <w:color w:val="231F20"/>
              </w:rPr>
              <w:t>Tensión arterial</w:t>
            </w:r>
          </w:p>
        </w:tc>
      </w:tr>
      <w:tr w:rsidR="00006DEE" w:rsidTr="00006DEE">
        <w:trPr>
          <w:trHeight w:val="259"/>
        </w:trPr>
        <w:tc>
          <w:tcPr>
            <w:tcW w:w="5495" w:type="dxa"/>
            <w:gridSpan w:val="5"/>
          </w:tcPr>
          <w:p w:rsidR="00006DEE" w:rsidRPr="00F151F7" w:rsidRDefault="00006DEE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entre 36,2 y 37,0 °C (Se acepta medio grado menos por vía axilar y +1 por vía rectal)</w:t>
            </w:r>
          </w:p>
        </w:tc>
        <w:tc>
          <w:tcPr>
            <w:tcW w:w="2693" w:type="dxa"/>
            <w:gridSpan w:val="5"/>
          </w:tcPr>
          <w:p w:rsidR="00006DEE" w:rsidRPr="00F151F7" w:rsidRDefault="00006DEE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Entre 12 y 20</w:t>
            </w:r>
          </w:p>
        </w:tc>
        <w:tc>
          <w:tcPr>
            <w:tcW w:w="2268" w:type="dxa"/>
            <w:gridSpan w:val="2"/>
          </w:tcPr>
          <w:p w:rsidR="00006DEE" w:rsidRPr="00F151F7" w:rsidRDefault="00006DEE" w:rsidP="00F151F7">
            <w:pPr>
              <w:rPr>
                <w:rFonts w:ascii="Arial" w:hAnsi="Arial" w:cs="Arial"/>
              </w:rPr>
            </w:pPr>
            <w:r w:rsidRPr="00F151F7">
              <w:rPr>
                <w:rFonts w:ascii="Arial" w:hAnsi="Arial" w:cs="Arial"/>
                <w:color w:val="231F20"/>
              </w:rPr>
              <w:t>Entre 60 y 100</w:t>
            </w:r>
          </w:p>
        </w:tc>
        <w:tc>
          <w:tcPr>
            <w:tcW w:w="4564" w:type="dxa"/>
            <w:gridSpan w:val="4"/>
          </w:tcPr>
          <w:p w:rsidR="00006DEE" w:rsidRPr="00F151F7" w:rsidRDefault="00006DEE" w:rsidP="00F151F7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Sistólica: 100-150 mmHg</w:t>
            </w:r>
          </w:p>
          <w:p w:rsidR="00006DEE" w:rsidRPr="00F151F7" w:rsidRDefault="00006DEE" w:rsidP="00F151F7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Diastólica: 60- 95 mmHg</w:t>
            </w:r>
          </w:p>
          <w:p w:rsidR="00006DEE" w:rsidRPr="00F151F7" w:rsidRDefault="00006DEE" w:rsidP="00F151F7">
            <w:pPr>
              <w:rPr>
                <w:rFonts w:ascii="Arial" w:hAnsi="Arial" w:cs="Arial"/>
                <w:color w:val="231F20"/>
              </w:rPr>
            </w:pPr>
            <w:r w:rsidRPr="00F151F7">
              <w:rPr>
                <w:rFonts w:ascii="Arial" w:hAnsi="Arial" w:cs="Arial"/>
                <w:color w:val="231F20"/>
              </w:rPr>
              <w:t>En las mujeres se aceptan 5 mmHg</w:t>
            </w:r>
          </w:p>
          <w:p w:rsidR="00006DEE" w:rsidRDefault="00006DEE">
            <w:r w:rsidRPr="00F151F7">
              <w:rPr>
                <w:rFonts w:ascii="Arial" w:hAnsi="Arial" w:cs="Arial"/>
                <w:color w:val="231F20"/>
              </w:rPr>
              <w:t>por debajo</w:t>
            </w:r>
          </w:p>
        </w:tc>
      </w:tr>
      <w:tr w:rsidR="00F151F7" w:rsidTr="00C5201E">
        <w:trPr>
          <w:trHeight w:val="259"/>
        </w:trPr>
        <w:tc>
          <w:tcPr>
            <w:tcW w:w="15020" w:type="dxa"/>
            <w:gridSpan w:val="16"/>
          </w:tcPr>
          <w:p w:rsidR="00F151F7" w:rsidRPr="00654FEE" w:rsidRDefault="00654FEE">
            <w:pPr>
              <w:rPr>
                <w:rFonts w:ascii="Arial" w:hAnsi="Arial" w:cs="Arial"/>
              </w:rPr>
            </w:pPr>
            <w:r w:rsidRPr="00654FEE">
              <w:rPr>
                <w:rFonts w:ascii="Arial" w:hAnsi="Arial" w:cs="Arial"/>
                <w:color w:val="231F20"/>
              </w:rPr>
              <w:t>Tabla 7.4. Funciones vitales monitorizadas</w:t>
            </w:r>
          </w:p>
        </w:tc>
      </w:tr>
      <w:tr w:rsidR="00006DEE" w:rsidTr="0065241B">
        <w:trPr>
          <w:trHeight w:val="259"/>
        </w:trPr>
        <w:tc>
          <w:tcPr>
            <w:tcW w:w="2660" w:type="dxa"/>
            <w:gridSpan w:val="2"/>
          </w:tcPr>
          <w:p w:rsidR="00006DEE" w:rsidRPr="00654FEE" w:rsidRDefault="00654F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Parámetros</w:t>
            </w:r>
          </w:p>
        </w:tc>
        <w:tc>
          <w:tcPr>
            <w:tcW w:w="3348" w:type="dxa"/>
            <w:gridSpan w:val="4"/>
          </w:tcPr>
          <w:p w:rsidR="00006DEE" w:rsidRPr="00654FEE" w:rsidRDefault="00654F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Concepto</w:t>
            </w:r>
          </w:p>
        </w:tc>
        <w:tc>
          <w:tcPr>
            <w:tcW w:w="3004" w:type="dxa"/>
            <w:gridSpan w:val="5"/>
          </w:tcPr>
          <w:p w:rsidR="00006DEE" w:rsidRPr="00654FEE" w:rsidRDefault="00654F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Métodos de registro</w:t>
            </w:r>
          </w:p>
        </w:tc>
        <w:tc>
          <w:tcPr>
            <w:tcW w:w="3004" w:type="dxa"/>
            <w:gridSpan w:val="4"/>
            <w:tcBorders>
              <w:right w:val="single" w:sz="4" w:space="0" w:color="auto"/>
            </w:tcBorders>
          </w:tcPr>
          <w:p w:rsidR="00006DEE" w:rsidRPr="00654FEE" w:rsidRDefault="00654F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Valores de referencia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006DEE" w:rsidRPr="00654FEE" w:rsidRDefault="00006DEE">
            <w:pPr>
              <w:rPr>
                <w:rFonts w:ascii="Arial" w:hAnsi="Arial" w:cs="Arial"/>
              </w:rPr>
            </w:pPr>
            <w:r w:rsidRPr="00654FEE">
              <w:rPr>
                <w:rFonts w:ascii="Arial" w:hAnsi="Arial" w:cs="Arial"/>
                <w:color w:val="231F20"/>
              </w:rPr>
              <w:t>Causas de errores</w:t>
            </w:r>
          </w:p>
        </w:tc>
      </w:tr>
      <w:tr w:rsidR="009A3D80" w:rsidTr="0065241B">
        <w:trPr>
          <w:trHeight w:val="259"/>
        </w:trPr>
        <w:tc>
          <w:tcPr>
            <w:tcW w:w="2660" w:type="dxa"/>
            <w:gridSpan w:val="2"/>
          </w:tcPr>
          <w:p w:rsidR="009A3D80" w:rsidRPr="00654FEE" w:rsidRDefault="00006D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Presión arterial  media (PAM)</w:t>
            </w:r>
          </w:p>
        </w:tc>
        <w:tc>
          <w:tcPr>
            <w:tcW w:w="3348" w:type="dxa"/>
            <w:gridSpan w:val="4"/>
          </w:tcPr>
          <w:p w:rsidR="009A3D80" w:rsidRPr="00654FEE" w:rsidRDefault="00006D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Es la presión promedio durante la totalidad de cada ciclo cardíaco.</w:t>
            </w:r>
          </w:p>
        </w:tc>
        <w:tc>
          <w:tcPr>
            <w:tcW w:w="3004" w:type="dxa"/>
            <w:gridSpan w:val="5"/>
          </w:tcPr>
          <w:p w:rsidR="009A3D80" w:rsidRPr="00654FEE" w:rsidRDefault="00006DEE">
            <w:pPr>
              <w:rPr>
                <w:rFonts w:ascii="Arial" w:hAnsi="Arial" w:cs="Arial"/>
                <w:color w:val="231F20"/>
                <w:u w:val="single"/>
              </w:rPr>
            </w:pPr>
            <w:r w:rsidRPr="00654FEE">
              <w:rPr>
                <w:rFonts w:ascii="Arial" w:hAnsi="Arial" w:cs="Arial"/>
                <w:color w:val="231F20"/>
              </w:rPr>
              <w:t xml:space="preserve">No invasivos Utilización de la fórmula </w:t>
            </w:r>
            <w:r w:rsidRPr="00654FEE">
              <w:rPr>
                <w:rFonts w:ascii="Arial" w:hAnsi="Arial" w:cs="Arial"/>
                <w:color w:val="231F20"/>
                <w:u w:val="single"/>
              </w:rPr>
              <w:t>TA sist + 2 diast</w:t>
            </w:r>
          </w:p>
          <w:p w:rsidR="00006DEE" w:rsidRPr="00654FEE" w:rsidRDefault="00006D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 xml:space="preserve">                       3</w:t>
            </w:r>
          </w:p>
        </w:tc>
        <w:tc>
          <w:tcPr>
            <w:tcW w:w="3004" w:type="dxa"/>
            <w:gridSpan w:val="4"/>
            <w:tcBorders>
              <w:right w:val="single" w:sz="4" w:space="0" w:color="auto"/>
            </w:tcBorders>
          </w:tcPr>
          <w:p w:rsidR="009A3D80" w:rsidRPr="00654FEE" w:rsidRDefault="00006DEE">
            <w:pPr>
              <w:rPr>
                <w:rFonts w:ascii="Arial" w:hAnsi="Arial" w:cs="Arial"/>
              </w:rPr>
            </w:pPr>
            <w:r w:rsidRPr="00654FEE">
              <w:rPr>
                <w:rFonts w:ascii="Arial" w:hAnsi="Arial" w:cs="Arial"/>
                <w:color w:val="231F20"/>
              </w:rPr>
              <w:t>70 - 100 mmHg (Ideal 90 mmHg)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9A3D80" w:rsidRPr="00654FEE" w:rsidRDefault="00006D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Manómetro deficiente.</w:t>
            </w:r>
          </w:p>
          <w:p w:rsidR="00006DEE" w:rsidRPr="00654FEE" w:rsidRDefault="00006D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Presión nsuficiente</w:t>
            </w:r>
          </w:p>
          <w:p w:rsidR="00006DEE" w:rsidRPr="00654FEE" w:rsidRDefault="00006DEE">
            <w:pPr>
              <w:rPr>
                <w:rFonts w:ascii="Arial" w:hAnsi="Arial" w:cs="Arial"/>
                <w:color w:val="231F20"/>
              </w:rPr>
            </w:pPr>
            <w:r w:rsidRPr="00654FEE">
              <w:rPr>
                <w:rFonts w:ascii="Arial" w:hAnsi="Arial" w:cs="Arial"/>
                <w:color w:val="231F20"/>
              </w:rPr>
              <w:t>Calibración</w:t>
            </w:r>
            <w:r w:rsidR="00654FEE" w:rsidRPr="00654FEE">
              <w:rPr>
                <w:rFonts w:ascii="Arial" w:hAnsi="Arial" w:cs="Arial"/>
                <w:color w:val="231F20"/>
              </w:rPr>
              <w:t xml:space="preserve"> defectuosa</w:t>
            </w:r>
          </w:p>
          <w:p w:rsidR="00654FEE" w:rsidRPr="00654FEE" w:rsidRDefault="00654FEE">
            <w:pPr>
              <w:rPr>
                <w:rFonts w:ascii="Arial" w:hAnsi="Arial" w:cs="Arial"/>
              </w:rPr>
            </w:pPr>
            <w:r w:rsidRPr="00654FEE">
              <w:rPr>
                <w:rFonts w:ascii="Arial" w:hAnsi="Arial" w:cs="Arial"/>
                <w:color w:val="231F20"/>
              </w:rPr>
              <w:t>Aire en el trnsductor</w:t>
            </w:r>
          </w:p>
        </w:tc>
      </w:tr>
      <w:tr w:rsidR="009A3D80" w:rsidTr="0065241B">
        <w:trPr>
          <w:trHeight w:val="259"/>
        </w:trPr>
        <w:tc>
          <w:tcPr>
            <w:tcW w:w="2660" w:type="dxa"/>
            <w:gridSpan w:val="2"/>
          </w:tcPr>
          <w:p w:rsidR="009A3D80" w:rsidRPr="00BE39F6" w:rsidRDefault="00654FEE">
            <w:pPr>
              <w:rPr>
                <w:rFonts w:ascii="Arial" w:hAnsi="Arial" w:cs="Arial"/>
                <w:color w:val="231F20"/>
              </w:rPr>
            </w:pPr>
            <w:r w:rsidRPr="00BE39F6">
              <w:rPr>
                <w:rFonts w:ascii="Arial" w:hAnsi="Arial" w:cs="Arial"/>
                <w:color w:val="231F20"/>
              </w:rPr>
              <w:t>Presión venosa central (PVC)</w:t>
            </w:r>
          </w:p>
        </w:tc>
        <w:tc>
          <w:tcPr>
            <w:tcW w:w="3348" w:type="dxa"/>
            <w:gridSpan w:val="4"/>
          </w:tcPr>
          <w:p w:rsidR="009A3D80" w:rsidRPr="00BE39F6" w:rsidRDefault="00654FEE">
            <w:pPr>
              <w:rPr>
                <w:rFonts w:ascii="Arial" w:hAnsi="Arial" w:cs="Arial"/>
                <w:color w:val="231F20"/>
              </w:rPr>
            </w:pPr>
            <w:r w:rsidRPr="00BE39F6">
              <w:rPr>
                <w:rFonts w:ascii="Arial" w:hAnsi="Arial" w:cs="Arial"/>
                <w:color w:val="231F20"/>
              </w:rPr>
              <w:t>Es la presión media de llenado de la aurícula derecha</w:t>
            </w:r>
          </w:p>
        </w:tc>
        <w:tc>
          <w:tcPr>
            <w:tcW w:w="3004" w:type="dxa"/>
            <w:gridSpan w:val="5"/>
          </w:tcPr>
          <w:p w:rsidR="009A3D80" w:rsidRPr="00BE39F6" w:rsidRDefault="00654FEE">
            <w:pPr>
              <w:rPr>
                <w:rFonts w:ascii="Arial" w:hAnsi="Arial" w:cs="Arial"/>
                <w:color w:val="231F20"/>
              </w:rPr>
            </w:pPr>
            <w:r w:rsidRPr="00BE39F6">
              <w:rPr>
                <w:rFonts w:ascii="Arial" w:hAnsi="Arial" w:cs="Arial"/>
                <w:color w:val="231F20"/>
              </w:rPr>
              <w:t>Catéter insertado en vena cava superior o, mejor a un, en aurícula derecha</w:t>
            </w:r>
            <w:r w:rsidR="00BE39F6" w:rsidRPr="00BE39F6">
              <w:rPr>
                <w:rFonts w:ascii="Arial" w:hAnsi="Arial" w:cs="Arial"/>
                <w:color w:val="231F20"/>
              </w:rPr>
              <w:t xml:space="preserve"> conectado a una columna de líquido</w:t>
            </w:r>
          </w:p>
        </w:tc>
        <w:tc>
          <w:tcPr>
            <w:tcW w:w="3004" w:type="dxa"/>
            <w:gridSpan w:val="4"/>
            <w:tcBorders>
              <w:right w:val="single" w:sz="4" w:space="0" w:color="auto"/>
            </w:tcBorders>
          </w:tcPr>
          <w:p w:rsidR="009A3D80" w:rsidRPr="00BE39F6" w:rsidRDefault="00654FEE" w:rsidP="00BE39F6">
            <w:pPr>
              <w:rPr>
                <w:rFonts w:ascii="Arial" w:hAnsi="Arial" w:cs="Arial"/>
              </w:rPr>
            </w:pPr>
            <w:r w:rsidRPr="00BE39F6">
              <w:rPr>
                <w:rFonts w:ascii="Arial" w:hAnsi="Arial" w:cs="Arial"/>
                <w:color w:val="231F20"/>
              </w:rPr>
              <w:t>8- 15 cm H2O medidas</w:t>
            </w:r>
            <w:r w:rsidR="00BE39F6" w:rsidRPr="00BE39F6">
              <w:rPr>
                <w:rFonts w:ascii="Arial" w:hAnsi="Arial" w:cs="Arial"/>
                <w:color w:val="231F20"/>
              </w:rPr>
              <w:t xml:space="preserve"> en</w:t>
            </w:r>
            <w:r w:rsidRPr="00BE39F6">
              <w:rPr>
                <w:rFonts w:ascii="Arial" w:hAnsi="Arial" w:cs="Arial"/>
                <w:color w:val="231F20"/>
              </w:rPr>
              <w:t xml:space="preserve"> monitor</w:t>
            </w:r>
            <w:r w:rsidR="00BE39F6" w:rsidRPr="00BE39F6">
              <w:rPr>
                <w:rFonts w:ascii="Arial" w:hAnsi="Arial" w:cs="Arial"/>
                <w:color w:val="231F20"/>
              </w:rPr>
              <w:t xml:space="preserve"> multiplicarse por 1,36 para hacer la conversión de mmHg a cmH2O 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BE39F6" w:rsidRPr="00BE39F6" w:rsidRDefault="00BE39F6">
            <w:pPr>
              <w:rPr>
                <w:rFonts w:ascii="Arial" w:hAnsi="Arial" w:cs="Arial"/>
              </w:rPr>
            </w:pPr>
            <w:r w:rsidRPr="00BE39F6">
              <w:rPr>
                <w:rFonts w:ascii="Arial" w:hAnsi="Arial" w:cs="Arial"/>
                <w:color w:val="231F20"/>
              </w:rPr>
              <w:t>Mala ubicación del catéter.</w:t>
            </w:r>
          </w:p>
          <w:p w:rsidR="009A3D80" w:rsidRPr="00BE39F6" w:rsidRDefault="00BE39F6" w:rsidP="00BE39F6">
            <w:pPr>
              <w:rPr>
                <w:rFonts w:ascii="Arial" w:hAnsi="Arial" w:cs="Arial"/>
              </w:rPr>
            </w:pPr>
            <w:r w:rsidRPr="00BE39F6">
              <w:rPr>
                <w:rFonts w:ascii="Arial" w:hAnsi="Arial" w:cs="Arial"/>
                <w:color w:val="231F20"/>
              </w:rPr>
              <w:t>Mala determinación del cero de la escala</w:t>
            </w:r>
          </w:p>
        </w:tc>
      </w:tr>
      <w:tr w:rsidR="009A3D80" w:rsidRPr="00BE39F6" w:rsidTr="0065241B">
        <w:trPr>
          <w:trHeight w:val="259"/>
        </w:trPr>
        <w:tc>
          <w:tcPr>
            <w:tcW w:w="2660" w:type="dxa"/>
            <w:gridSpan w:val="2"/>
          </w:tcPr>
          <w:p w:rsidR="009A3D80" w:rsidRPr="00BE39F6" w:rsidRDefault="00654FEE">
            <w:pPr>
              <w:rPr>
                <w:rFonts w:ascii="Arial" w:hAnsi="Arial" w:cs="Arial"/>
                <w:color w:val="231F20"/>
              </w:rPr>
            </w:pPr>
            <w:r w:rsidRPr="00BE39F6">
              <w:rPr>
                <w:rFonts w:ascii="Arial" w:hAnsi="Arial" w:cs="Arial"/>
                <w:color w:val="231F20"/>
              </w:rPr>
              <w:t>Presión intracraneana  (PIC)</w:t>
            </w:r>
          </w:p>
        </w:tc>
        <w:tc>
          <w:tcPr>
            <w:tcW w:w="3348" w:type="dxa"/>
            <w:gridSpan w:val="4"/>
          </w:tcPr>
          <w:p w:rsidR="009A3D80" w:rsidRPr="00BE39F6" w:rsidRDefault="00BE39F6">
            <w:pPr>
              <w:rPr>
                <w:rFonts w:ascii="Arial" w:hAnsi="Arial" w:cs="Arial"/>
                <w:color w:val="231F20"/>
              </w:rPr>
            </w:pPr>
            <w:r w:rsidRPr="00BE39F6">
              <w:rPr>
                <w:rFonts w:ascii="Arial" w:hAnsi="Arial" w:cs="Arial"/>
                <w:color w:val="231F20"/>
              </w:rPr>
              <w:t>Es la presión que ejerce el LCR dentro de la cavidad del cráneo</w:t>
            </w:r>
          </w:p>
        </w:tc>
        <w:tc>
          <w:tcPr>
            <w:tcW w:w="3004" w:type="dxa"/>
            <w:gridSpan w:val="5"/>
          </w:tcPr>
          <w:p w:rsidR="009A3D80" w:rsidRPr="00BE39F6" w:rsidRDefault="00BE39F6">
            <w:pPr>
              <w:rPr>
                <w:rFonts w:ascii="Arial" w:hAnsi="Arial" w:cs="Arial"/>
                <w:color w:val="231F20"/>
              </w:rPr>
            </w:pPr>
            <w:r w:rsidRPr="00BE39F6">
              <w:rPr>
                <w:rFonts w:ascii="Arial" w:hAnsi="Arial" w:cs="Arial"/>
                <w:color w:val="231F20"/>
              </w:rPr>
              <w:t>Registro único con manometría punción lumbar y punción ventricular.</w:t>
            </w:r>
          </w:p>
        </w:tc>
        <w:tc>
          <w:tcPr>
            <w:tcW w:w="3004" w:type="dxa"/>
            <w:gridSpan w:val="4"/>
            <w:tcBorders>
              <w:right w:val="single" w:sz="4" w:space="0" w:color="auto"/>
            </w:tcBorders>
          </w:tcPr>
          <w:p w:rsidR="009A3D80" w:rsidRPr="00BE39F6" w:rsidRDefault="00BE39F6">
            <w:pPr>
              <w:rPr>
                <w:rFonts w:ascii="Arial" w:hAnsi="Arial" w:cs="Arial"/>
              </w:rPr>
            </w:pPr>
            <w:r w:rsidRPr="00BE39F6">
              <w:rPr>
                <w:rFonts w:ascii="Arial" w:hAnsi="Arial" w:cs="Arial"/>
                <w:color w:val="231F20"/>
              </w:rPr>
              <w:t>8- 20 cm H2O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9A3D80" w:rsidRPr="00BE39F6" w:rsidRDefault="00BE39F6">
            <w:pPr>
              <w:rPr>
                <w:rFonts w:ascii="Arial" w:hAnsi="Arial" w:cs="Arial"/>
              </w:rPr>
            </w:pPr>
            <w:r w:rsidRPr="00BE39F6">
              <w:rPr>
                <w:rFonts w:ascii="Arial" w:hAnsi="Arial" w:cs="Arial"/>
                <w:color w:val="231F20"/>
              </w:rPr>
              <w:t>Catéteres fuera de lugar Obstrucciones.</w:t>
            </w:r>
          </w:p>
        </w:tc>
      </w:tr>
      <w:tr w:rsidR="0065241B" w:rsidTr="00C14251">
        <w:trPr>
          <w:trHeight w:val="259"/>
        </w:trPr>
        <w:tc>
          <w:tcPr>
            <w:tcW w:w="15020" w:type="dxa"/>
            <w:gridSpan w:val="16"/>
          </w:tcPr>
          <w:p w:rsidR="0065241B" w:rsidRPr="0065241B" w:rsidRDefault="0065241B" w:rsidP="006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t>En los servicios de urgencia</w:t>
            </w:r>
            <w:r w:rsidRPr="0065241B">
              <w:rPr>
                <w:rFonts w:ascii="Arial" w:hAnsi="Arial" w:cs="Arial"/>
                <w:b/>
                <w:color w:val="231F20"/>
              </w:rPr>
              <w:t>, la</w:t>
            </w:r>
            <w:r w:rsidRPr="0065241B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b/>
                <w:color w:val="231F20"/>
                <w:sz w:val="24"/>
                <w:szCs w:val="24"/>
              </w:rPr>
              <w:t>diuresis</w:t>
            </w:r>
            <w:r w:rsidRPr="0065241B">
              <w:rPr>
                <w:rFonts w:ascii="Arial" w:hAnsi="Arial" w:cs="Arial"/>
                <w:color w:val="231F20"/>
              </w:rPr>
              <w:t xml:space="preserve"> se contem</w:t>
            </w:r>
            <w:r>
              <w:rPr>
                <w:rFonts w:ascii="Arial" w:hAnsi="Arial" w:cs="Arial"/>
                <w:color w:val="231F20"/>
              </w:rPr>
              <w:t xml:space="preserve">pla como un signo vital de gran </w:t>
            </w:r>
            <w:r w:rsidRPr="0065241B">
              <w:rPr>
                <w:rFonts w:ascii="Arial" w:hAnsi="Arial" w:cs="Arial"/>
                <w:color w:val="231F20"/>
              </w:rPr>
              <w:t>valor predictivo. Es un parámetro que indica la cantidad de o</w:t>
            </w:r>
            <w:r>
              <w:rPr>
                <w:rFonts w:ascii="Arial" w:hAnsi="Arial" w:cs="Arial"/>
                <w:color w:val="231F20"/>
              </w:rPr>
              <w:t xml:space="preserve">rina que se elimina normalmente </w:t>
            </w:r>
            <w:r w:rsidRPr="0065241B">
              <w:rPr>
                <w:rFonts w:ascii="Arial" w:hAnsi="Arial" w:cs="Arial"/>
                <w:color w:val="231F20"/>
              </w:rPr>
              <w:t>en 24 h y su método de registro puede se</w:t>
            </w:r>
            <w:r>
              <w:rPr>
                <w:rFonts w:ascii="Arial" w:hAnsi="Arial" w:cs="Arial"/>
                <w:color w:val="231F20"/>
              </w:rPr>
              <w:t xml:space="preserve">r espontáneo o mediante sondaje </w:t>
            </w:r>
            <w:r w:rsidRPr="0065241B">
              <w:rPr>
                <w:rFonts w:ascii="Arial" w:hAnsi="Arial" w:cs="Arial"/>
                <w:color w:val="231F20"/>
              </w:rPr>
              <w:t>vesical. El valor de referencia es que se elimine cad</w:t>
            </w:r>
            <w:r>
              <w:rPr>
                <w:rFonts w:ascii="Arial" w:hAnsi="Arial" w:cs="Arial"/>
                <w:color w:val="231F20"/>
              </w:rPr>
              <w:t xml:space="preserve">a 1 mL x kg de peso en 24 h, es </w:t>
            </w:r>
            <w:r w:rsidRPr="0065241B">
              <w:rPr>
                <w:rFonts w:ascii="Arial" w:hAnsi="Arial" w:cs="Arial"/>
                <w:color w:val="231F20"/>
              </w:rPr>
              <w:t>decir aproximadamente 1500 mL/24 h. Lo que per</w:t>
            </w:r>
            <w:r>
              <w:rPr>
                <w:rFonts w:ascii="Arial" w:hAnsi="Arial" w:cs="Arial"/>
                <w:color w:val="231F20"/>
              </w:rPr>
              <w:t xml:space="preserve">mite un promedio superior a los </w:t>
            </w:r>
            <w:r w:rsidRPr="0065241B">
              <w:rPr>
                <w:rFonts w:ascii="Arial" w:hAnsi="Arial" w:cs="Arial"/>
                <w:color w:val="231F20"/>
              </w:rPr>
              <w:t>40 mL x h. Los valores anormales indican alteració</w:t>
            </w:r>
            <w:r>
              <w:rPr>
                <w:rFonts w:ascii="Arial" w:hAnsi="Arial" w:cs="Arial"/>
                <w:color w:val="231F20"/>
              </w:rPr>
              <w:t xml:space="preserve">n en la eliminación como son el </w:t>
            </w:r>
            <w:r w:rsidRPr="0065241B">
              <w:rPr>
                <w:rFonts w:ascii="Arial" w:hAnsi="Arial" w:cs="Arial"/>
                <w:color w:val="231F20"/>
              </w:rPr>
              <w:t>caso de la oliguria, que es una disminución del volumen de orina inferior a 0,5 mL x kg</w:t>
            </w:r>
          </w:p>
          <w:p w:rsidR="0065241B" w:rsidRPr="0065241B" w:rsidRDefault="0065241B" w:rsidP="006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5241B">
              <w:rPr>
                <w:rFonts w:ascii="Arial" w:hAnsi="Arial" w:cs="Arial"/>
                <w:color w:val="231F20"/>
              </w:rPr>
              <w:t xml:space="preserve">de peso x h (unos 700 ml/24 h); la anuria, que es </w:t>
            </w:r>
            <w:r>
              <w:rPr>
                <w:rFonts w:ascii="Arial" w:hAnsi="Arial" w:cs="Arial"/>
                <w:color w:val="231F20"/>
              </w:rPr>
              <w:t xml:space="preserve">la reducción marcada o ausencia </w:t>
            </w:r>
            <w:r w:rsidRPr="0065241B">
              <w:rPr>
                <w:rFonts w:ascii="Arial" w:hAnsi="Arial" w:cs="Arial"/>
                <w:color w:val="231F20"/>
              </w:rPr>
              <w:t>total de eliminación de orina en 24 h</w:t>
            </w:r>
            <w:r>
              <w:rPr>
                <w:rFonts w:ascii="Arial" w:hAnsi="Arial" w:cs="Arial"/>
                <w:color w:val="231F20"/>
              </w:rPr>
              <w:t xml:space="preserve">, la cifras oscilan entre 19 mLxh o menos e </w:t>
            </w:r>
            <w:r w:rsidRPr="0065241B">
              <w:rPr>
                <w:rFonts w:ascii="Arial" w:hAnsi="Arial" w:cs="Arial"/>
                <w:color w:val="231F20"/>
              </w:rPr>
              <w:t>inferior a los 300 mL/24 h y la hematuria, que es una eliminación de orina sanguinolenta</w:t>
            </w:r>
          </w:p>
        </w:tc>
      </w:tr>
      <w:tr w:rsidR="0065241B" w:rsidTr="00D67960">
        <w:trPr>
          <w:trHeight w:val="259"/>
        </w:trPr>
        <w:tc>
          <w:tcPr>
            <w:tcW w:w="15020" w:type="dxa"/>
            <w:gridSpan w:val="16"/>
          </w:tcPr>
          <w:p w:rsidR="0065241B" w:rsidRPr="0065241B" w:rsidRDefault="0065241B" w:rsidP="006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5241B">
              <w:rPr>
                <w:rFonts w:ascii="Arial" w:hAnsi="Arial" w:cs="Arial"/>
                <w:color w:val="231F20"/>
              </w:rPr>
              <w:t>Otro método empleado en las unidades de cuidad</w:t>
            </w:r>
            <w:r>
              <w:rPr>
                <w:rFonts w:ascii="Arial" w:hAnsi="Arial" w:cs="Arial"/>
                <w:color w:val="231F20"/>
              </w:rPr>
              <w:t xml:space="preserve">os progresivos para la medición </w:t>
            </w:r>
            <w:r w:rsidRPr="0065241B">
              <w:rPr>
                <w:rFonts w:ascii="Arial" w:hAnsi="Arial" w:cs="Arial"/>
                <w:color w:val="231F20"/>
              </w:rPr>
              <w:t xml:space="preserve">cuantitativa del </w:t>
            </w:r>
            <w:r w:rsidRPr="0065241B">
              <w:rPr>
                <w:rFonts w:ascii="Arial" w:hAnsi="Arial" w:cs="Arial"/>
                <w:b/>
                <w:color w:val="231F20"/>
                <w:sz w:val="24"/>
                <w:szCs w:val="24"/>
              </w:rPr>
              <w:t>gasto cardíaco</w:t>
            </w:r>
            <w:r w:rsidRPr="0065241B">
              <w:rPr>
                <w:rFonts w:ascii="Arial" w:hAnsi="Arial" w:cs="Arial"/>
                <w:color w:val="231F20"/>
              </w:rPr>
              <w:t>, es el que</w:t>
            </w:r>
            <w:r>
              <w:rPr>
                <w:rFonts w:ascii="Arial" w:hAnsi="Arial" w:cs="Arial"/>
                <w:color w:val="231F20"/>
              </w:rPr>
              <w:t xml:space="preserve"> se realiza mediante un catéter </w:t>
            </w:r>
            <w:r w:rsidRPr="0065241B">
              <w:rPr>
                <w:rFonts w:ascii="Arial" w:hAnsi="Arial" w:cs="Arial"/>
                <w:color w:val="231F20"/>
              </w:rPr>
              <w:t>Swan-Ganz con luz para medir el mismo mediante</w:t>
            </w:r>
            <w:r>
              <w:rPr>
                <w:rFonts w:ascii="Arial" w:hAnsi="Arial" w:cs="Arial"/>
                <w:color w:val="231F20"/>
              </w:rPr>
              <w:t xml:space="preserve"> la termodilución, que consiste </w:t>
            </w:r>
            <w:r w:rsidRPr="0065241B">
              <w:rPr>
                <w:rFonts w:ascii="Arial" w:hAnsi="Arial" w:cs="Arial"/>
                <w:color w:val="231F20"/>
              </w:rPr>
              <w:t>en el análisis por una computadora de las varia</w:t>
            </w:r>
            <w:r>
              <w:rPr>
                <w:rFonts w:ascii="Arial" w:hAnsi="Arial" w:cs="Arial"/>
                <w:color w:val="231F20"/>
              </w:rPr>
              <w:t xml:space="preserve">ciones de temperaturas entre el </w:t>
            </w:r>
            <w:r w:rsidRPr="0065241B">
              <w:rPr>
                <w:rFonts w:ascii="Arial" w:hAnsi="Arial" w:cs="Arial"/>
                <w:color w:val="231F20"/>
              </w:rPr>
              <w:t>líquido inyectado en la vena cava superior (o aurícula</w:t>
            </w:r>
            <w:r>
              <w:rPr>
                <w:rFonts w:ascii="Arial" w:hAnsi="Arial" w:cs="Arial"/>
                <w:color w:val="231F20"/>
              </w:rPr>
              <w:t xml:space="preserve"> derecha) y el valor registrado </w:t>
            </w:r>
            <w:r w:rsidRPr="0065241B">
              <w:rPr>
                <w:rFonts w:ascii="Arial" w:hAnsi="Arial" w:cs="Arial"/>
                <w:color w:val="231F20"/>
              </w:rPr>
              <w:t xml:space="preserve">en el extremo distal del catéter donde se encuentra el </w:t>
            </w:r>
            <w:r w:rsidRPr="0065241B">
              <w:rPr>
                <w:rFonts w:ascii="Arial" w:hAnsi="Arial" w:cs="Arial"/>
                <w:i/>
                <w:iCs/>
                <w:color w:val="231F20"/>
              </w:rPr>
              <w:t xml:space="preserve">thermistor </w:t>
            </w:r>
            <w:r>
              <w:rPr>
                <w:rFonts w:ascii="Arial" w:hAnsi="Arial" w:cs="Arial"/>
                <w:color w:val="231F20"/>
              </w:rPr>
              <w:t xml:space="preserve">(tranductor </w:t>
            </w:r>
            <w:r w:rsidRPr="0065241B">
              <w:rPr>
                <w:rFonts w:ascii="Arial" w:hAnsi="Arial" w:cs="Arial"/>
                <w:color w:val="231F20"/>
              </w:rPr>
              <w:t xml:space="preserve">de temperatura). Los gastos cardíacos por debajo de 1,5 L/m2 </w:t>
            </w:r>
            <w:r>
              <w:rPr>
                <w:rFonts w:ascii="Arial" w:hAnsi="Arial" w:cs="Arial"/>
                <w:color w:val="231F20"/>
              </w:rPr>
              <w:t xml:space="preserve">x min, se consideran </w:t>
            </w:r>
            <w:r w:rsidRPr="0065241B">
              <w:rPr>
                <w:rFonts w:ascii="Arial" w:hAnsi="Arial" w:cs="Arial"/>
                <w:color w:val="231F20"/>
              </w:rPr>
              <w:t>críticos.</w:t>
            </w:r>
          </w:p>
        </w:tc>
      </w:tr>
      <w:tr w:rsidR="00C127F7" w:rsidTr="001D3788">
        <w:trPr>
          <w:trHeight w:val="259"/>
        </w:trPr>
        <w:tc>
          <w:tcPr>
            <w:tcW w:w="15020" w:type="dxa"/>
            <w:gridSpan w:val="16"/>
          </w:tcPr>
          <w:p w:rsidR="00C127F7" w:rsidRDefault="00C127F7"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Monitoraje mediante diferentes laboratorios</w:t>
            </w:r>
          </w:p>
        </w:tc>
      </w:tr>
      <w:tr w:rsidR="00C127F7" w:rsidTr="00487B05">
        <w:trPr>
          <w:trHeight w:val="259"/>
        </w:trPr>
        <w:tc>
          <w:tcPr>
            <w:tcW w:w="15020" w:type="dxa"/>
            <w:gridSpan w:val="16"/>
          </w:tcPr>
          <w:p w:rsidR="00C127F7" w:rsidRDefault="00C127F7" w:rsidP="00C127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t>El Monitoraje mediante diferentes laboratorios está</w:t>
            </w:r>
            <w:r>
              <w:rPr>
                <w:rFonts w:ascii="Arial" w:hAnsi="Arial" w:cs="Arial"/>
                <w:color w:val="231F20"/>
              </w:rPr>
              <w:t xml:space="preserve"> dirigido a controlar y evaluar </w:t>
            </w:r>
            <w:r w:rsidRPr="00C127F7">
              <w:rPr>
                <w:rFonts w:ascii="Arial" w:hAnsi="Arial" w:cs="Arial"/>
                <w:color w:val="231F20"/>
              </w:rPr>
              <w:t>los resultados de las diferentes pruebas o investigaciones que se clasifican en:</w:t>
            </w:r>
          </w:p>
          <w:p w:rsidR="00C127F7" w:rsidRPr="00C127F7" w:rsidRDefault="00C127F7" w:rsidP="00C127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b/>
                <w:i/>
                <w:iCs/>
                <w:color w:val="231F20"/>
                <w:u w:val="single"/>
              </w:rPr>
              <w:t>Pruebas invasivas</w:t>
            </w:r>
            <w:r w:rsidRPr="00C127F7">
              <w:rPr>
                <w:rFonts w:ascii="Arial" w:hAnsi="Arial" w:cs="Arial"/>
                <w:b/>
                <w:color w:val="231F20"/>
                <w:u w:val="single"/>
              </w:rPr>
              <w:t>:</w:t>
            </w:r>
            <w:r w:rsidRPr="00C127F7">
              <w:rPr>
                <w:rFonts w:ascii="Arial" w:hAnsi="Arial" w:cs="Arial"/>
                <w:color w:val="231F20"/>
              </w:rPr>
              <w:t xml:space="preserve"> son aquellas que requie</w:t>
            </w:r>
            <w:r>
              <w:rPr>
                <w:rFonts w:ascii="Arial" w:hAnsi="Arial" w:cs="Arial"/>
                <w:color w:val="231F20"/>
              </w:rPr>
              <w:t xml:space="preserve">ren cierto grado de agresión al </w:t>
            </w:r>
            <w:r w:rsidRPr="00C127F7">
              <w:rPr>
                <w:rFonts w:ascii="Arial" w:hAnsi="Arial" w:cs="Arial"/>
                <w:color w:val="231F20"/>
              </w:rPr>
              <w:t>paciente. Ejemplos: los exámenes de laboratorio, estudios endoscópicos,</w:t>
            </w:r>
          </w:p>
          <w:p w:rsidR="00C127F7" w:rsidRPr="00C127F7" w:rsidRDefault="00C127F7" w:rsidP="00C127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t>broncoscopia y coronariografía, entre otras.</w:t>
            </w:r>
          </w:p>
          <w:p w:rsidR="00C127F7" w:rsidRPr="00C127F7" w:rsidRDefault="00C127F7" w:rsidP="00C127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b/>
                <w:i/>
                <w:iCs/>
                <w:color w:val="231F20"/>
                <w:u w:val="single"/>
              </w:rPr>
              <w:t>Pruebas no invasivas</w:t>
            </w:r>
            <w:r w:rsidRPr="00C127F7">
              <w:rPr>
                <w:rFonts w:ascii="Arial" w:hAnsi="Arial" w:cs="Arial"/>
                <w:color w:val="231F20"/>
              </w:rPr>
              <w:t>: no requieren agresión al paciente. Ejemplo:</w:t>
            </w:r>
            <w:r>
              <w:rPr>
                <w:rFonts w:ascii="Arial" w:hAnsi="Arial" w:cs="Arial"/>
                <w:color w:val="231F20"/>
              </w:rPr>
              <w:t xml:space="preserve"> ultrasonidos, </w:t>
            </w:r>
            <w:r w:rsidRPr="00C127F7">
              <w:rPr>
                <w:rFonts w:ascii="Arial" w:hAnsi="Arial" w:cs="Arial"/>
                <w:color w:val="231F20"/>
              </w:rPr>
              <w:t>estudios radiológicos que no requieran la inyecci</w:t>
            </w:r>
            <w:r>
              <w:rPr>
                <w:rFonts w:ascii="Arial" w:hAnsi="Arial" w:cs="Arial"/>
                <w:color w:val="231F20"/>
              </w:rPr>
              <w:t>ón de sustancias de contrastes,</w:t>
            </w:r>
            <w:r w:rsidRPr="00C127F7">
              <w:rPr>
                <w:rFonts w:ascii="Arial" w:hAnsi="Arial" w:cs="Arial"/>
                <w:color w:val="231F20"/>
              </w:rPr>
              <w:t>pruebas funcionales respiratorias, electrocardiografía, entre otras.</w:t>
            </w:r>
          </w:p>
        </w:tc>
      </w:tr>
      <w:tr w:rsidR="00C127F7" w:rsidTr="005B316D">
        <w:trPr>
          <w:trHeight w:val="259"/>
        </w:trPr>
        <w:tc>
          <w:tcPr>
            <w:tcW w:w="15020" w:type="dxa"/>
            <w:gridSpan w:val="16"/>
          </w:tcPr>
          <w:p w:rsidR="00C127F7" w:rsidRDefault="00C127F7" w:rsidP="00C1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Monitoraje de los equipos</w:t>
            </w:r>
          </w:p>
          <w:p w:rsidR="00C127F7" w:rsidRPr="00C127F7" w:rsidRDefault="00C127F7" w:rsidP="00C127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t>Otros de los elementos a tener en cuenta durante la atención cont</w:t>
            </w:r>
            <w:r>
              <w:rPr>
                <w:rFonts w:ascii="Arial" w:hAnsi="Arial" w:cs="Arial"/>
                <w:color w:val="231F20"/>
              </w:rPr>
              <w:t xml:space="preserve">inua del </w:t>
            </w:r>
            <w:r w:rsidRPr="00C127F7">
              <w:rPr>
                <w:rFonts w:ascii="Arial" w:hAnsi="Arial" w:cs="Arial"/>
                <w:color w:val="231F20"/>
              </w:rPr>
              <w:t>paciente grave son aquellos relacionados con la valora</w:t>
            </w:r>
            <w:r>
              <w:rPr>
                <w:rFonts w:ascii="Arial" w:hAnsi="Arial" w:cs="Arial"/>
                <w:color w:val="231F20"/>
              </w:rPr>
              <w:t>ción del equipamiento empleado.</w:t>
            </w:r>
            <w:r w:rsidRPr="00C127F7">
              <w:rPr>
                <w:rFonts w:ascii="Arial" w:hAnsi="Arial" w:cs="Arial"/>
                <w:color w:val="231F20"/>
              </w:rPr>
              <w:t>Este abarca el monitoreo del funcionamient</w:t>
            </w:r>
            <w:r>
              <w:rPr>
                <w:rFonts w:ascii="Arial" w:hAnsi="Arial" w:cs="Arial"/>
                <w:color w:val="231F20"/>
              </w:rPr>
              <w:t>o de los equipos, su influencia</w:t>
            </w:r>
            <w:r w:rsidRPr="00C127F7">
              <w:rPr>
                <w:rFonts w:ascii="Arial" w:hAnsi="Arial" w:cs="Arial"/>
                <w:color w:val="231F20"/>
              </w:rPr>
              <w:t>en el paciente y la vigilancia del sistema de alarma</w:t>
            </w:r>
          </w:p>
        </w:tc>
      </w:tr>
      <w:tr w:rsidR="00C127F7" w:rsidTr="004B3869">
        <w:trPr>
          <w:trHeight w:val="259"/>
        </w:trPr>
        <w:tc>
          <w:tcPr>
            <w:tcW w:w="15020" w:type="dxa"/>
            <w:gridSpan w:val="16"/>
          </w:tcPr>
          <w:p w:rsidR="00C127F7" w:rsidRDefault="00C127F7" w:rsidP="00C1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32"/>
                <w:szCs w:val="32"/>
              </w:rPr>
              <w:t>Asistencia psicológica en los servicios</w:t>
            </w:r>
            <w:r w:rsidR="003C40C3">
              <w:rPr>
                <w:rFonts w:ascii="Times New Roman" w:hAnsi="Times New Roman" w:cs="Times New Roman"/>
                <w:b/>
                <w:bCs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32"/>
                <w:szCs w:val="32"/>
              </w:rPr>
              <w:t>de urgencia y de atención al grave</w:t>
            </w:r>
          </w:p>
          <w:p w:rsidR="00C127F7" w:rsidRPr="003C40C3" w:rsidRDefault="00C127F7" w:rsidP="00C1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lastRenderedPageBreak/>
              <w:t>La aplicación de la psicología en el desempeño d</w:t>
            </w:r>
            <w:r>
              <w:rPr>
                <w:rFonts w:ascii="Arial" w:hAnsi="Arial" w:cs="Arial"/>
                <w:color w:val="231F20"/>
              </w:rPr>
              <w:t xml:space="preserve">e los profesionales de la salud </w:t>
            </w:r>
            <w:r w:rsidRPr="00C127F7">
              <w:rPr>
                <w:rFonts w:ascii="Arial" w:hAnsi="Arial" w:cs="Arial"/>
                <w:color w:val="231F20"/>
              </w:rPr>
              <w:t>constituye un aspecto importante en el trato del pac</w:t>
            </w:r>
            <w:r>
              <w:rPr>
                <w:rFonts w:ascii="Arial" w:hAnsi="Arial" w:cs="Arial"/>
                <w:color w:val="231F20"/>
              </w:rPr>
              <w:t xml:space="preserve">iente y su afección, pues se ha </w:t>
            </w:r>
            <w:r w:rsidRPr="00C127F7">
              <w:rPr>
                <w:rFonts w:ascii="Arial" w:hAnsi="Arial" w:cs="Arial"/>
                <w:color w:val="231F20"/>
              </w:rPr>
              <w:t>podido comprobar la influencia de los aspectos psicológicos en el proceso salud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enfermedad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  <w:r w:rsidRPr="00C127F7">
              <w:rPr>
                <w:rFonts w:ascii="Times New Roman" w:hAnsi="Times New Roman" w:cs="Times New Roman"/>
                <w:color w:val="231F20"/>
              </w:rPr>
              <w:t xml:space="preserve"> El ingreso en una unidad de cuidados intensivos (UCI) </w:t>
            </w:r>
            <w:r w:rsidRPr="003C40C3">
              <w:rPr>
                <w:rFonts w:ascii="Arial" w:hAnsi="Arial" w:cs="Arial"/>
                <w:color w:val="231F20"/>
              </w:rPr>
              <w:t>implica un reto adaptativo</w:t>
            </w:r>
            <w:r w:rsidR="003C40C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desde el punto de vista psicológico para pacientes y familiares. La hospitalización</w:t>
            </w:r>
            <w:r w:rsidR="003C40C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puede constituir una experiencia de aislamiento y desamparo, donde el paciente se</w:t>
            </w:r>
            <w:r w:rsidR="003C40C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priva de sus espacios vitales: familia, amigos, intimidad, autodeterminación, entre</w:t>
            </w:r>
            <w:r w:rsidR="003C40C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otros. En el caso del paciente grave, desde su papel de sujeto activo pasa al de</w:t>
            </w:r>
            <w:r w:rsidR="003C40C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sujeto pasivo, dependiente de las atenciones de los demás y en muchos casos con</w:t>
            </w:r>
          </w:p>
          <w:p w:rsidR="00C127F7" w:rsidRPr="00C127F7" w:rsidRDefault="00C127F7" w:rsidP="00C127F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t>disminución de la capacidad para la toma de decisiones. Otro acontecimiento al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que se enfrentan es a la posibilidad real de la muerte, lo que puede tener un gran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impacto emocional en el paciente, la familia y el equipo terapéutico.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Las actitudes ante la muerte pasan por el estigma cultural. El hecho de ingresar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en una UCI activa ideas y emociones en pacientes y familiares. En algunas culturas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la muerte es una razón para celebraciones, incluso, su llegada se interpreta como la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autorrealización personal. En otros contextos la muerte es asociada con el sufrimiento,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sin embargo, en una misma cultura y familia, el hecho puede manifestarse de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>disímiles formas según las relaciones de consanguinidad con el paciente, la compenetración</w:t>
            </w:r>
          </w:p>
          <w:p w:rsidR="003C40C3" w:rsidRDefault="00C127F7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127F7">
              <w:rPr>
                <w:rFonts w:ascii="Arial" w:hAnsi="Arial" w:cs="Arial"/>
                <w:color w:val="231F20"/>
              </w:rPr>
              <w:t>afectiva existente, los recursos de personalidad que se posean, la presencia</w:t>
            </w:r>
            <w:r w:rsidR="003C40C3">
              <w:rPr>
                <w:rFonts w:ascii="Arial" w:hAnsi="Arial" w:cs="Arial"/>
                <w:color w:val="231F20"/>
              </w:rPr>
              <w:t xml:space="preserve"> </w:t>
            </w:r>
            <w:r w:rsidRPr="00C127F7">
              <w:rPr>
                <w:rFonts w:ascii="Arial" w:hAnsi="Arial" w:cs="Arial"/>
                <w:color w:val="231F20"/>
              </w:rPr>
              <w:t xml:space="preserve">de conflictos intrapsíquicos (ejemplo: sentimientos de culpa), entre otras </w:t>
            </w:r>
            <w:r w:rsidRPr="003C40C3">
              <w:rPr>
                <w:rFonts w:ascii="Arial" w:hAnsi="Arial" w:cs="Arial"/>
                <w:color w:val="231F20"/>
              </w:rPr>
              <w:t>variables</w:t>
            </w:r>
          </w:p>
          <w:p w:rsidR="003C40C3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:rsidR="003C40C3" w:rsidRPr="003C40C3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C40C3">
              <w:rPr>
                <w:rFonts w:ascii="Arial" w:hAnsi="Arial" w:cs="Arial"/>
                <w:color w:val="231F20"/>
              </w:rPr>
              <w:t>Entre las manifestaciones más frecuentes en este tipo de pacientes se encuentran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los síntomas psicoemocionales, tales como la</w:t>
            </w:r>
            <w:r>
              <w:rPr>
                <w:rFonts w:ascii="Arial" w:hAnsi="Arial" w:cs="Arial"/>
                <w:color w:val="231F20"/>
              </w:rPr>
              <w:t xml:space="preserve"> angustia, depresión, ansiedad, </w:t>
            </w:r>
            <w:r w:rsidRPr="003C40C3">
              <w:rPr>
                <w:rFonts w:ascii="Arial" w:hAnsi="Arial" w:cs="Arial"/>
                <w:color w:val="231F20"/>
              </w:rPr>
              <w:t xml:space="preserve">crisis de miedo o pánico, además, desorientación, alucinaciones, </w:t>
            </w:r>
            <w:r>
              <w:rPr>
                <w:rFonts w:ascii="Arial" w:hAnsi="Arial" w:cs="Arial"/>
                <w:color w:val="231F20"/>
              </w:rPr>
              <w:t xml:space="preserve">ideas delirantes, </w:t>
            </w:r>
            <w:r w:rsidRPr="003C40C3">
              <w:rPr>
                <w:rFonts w:ascii="Arial" w:hAnsi="Arial" w:cs="Arial"/>
                <w:color w:val="231F20"/>
              </w:rPr>
              <w:t>entre otros. También pueden ocurrir procesos de tran</w:t>
            </w:r>
            <w:r>
              <w:rPr>
                <w:rFonts w:ascii="Arial" w:hAnsi="Arial" w:cs="Arial"/>
                <w:color w:val="231F20"/>
              </w:rPr>
              <w:t xml:space="preserve">sferencia en el que a partir de </w:t>
            </w:r>
            <w:r w:rsidRPr="003C40C3">
              <w:rPr>
                <w:rFonts w:ascii="Arial" w:hAnsi="Arial" w:cs="Arial"/>
                <w:color w:val="231F20"/>
              </w:rPr>
              <w:t>reacciones inconscientes se expresen actitudes d</w:t>
            </w:r>
            <w:r>
              <w:rPr>
                <w:rFonts w:ascii="Arial" w:hAnsi="Arial" w:cs="Arial"/>
                <w:color w:val="231F20"/>
              </w:rPr>
              <w:t xml:space="preserve">e aceptación o rechazo hacia el </w:t>
            </w:r>
            <w:r w:rsidRPr="003C40C3">
              <w:rPr>
                <w:rFonts w:ascii="Arial" w:hAnsi="Arial" w:cs="Arial"/>
                <w:color w:val="231F20"/>
              </w:rPr>
              <w:t>personal asistencial, sobre todo mediante la comunicación extraverbal. Esa</w:t>
            </w:r>
            <w:r>
              <w:rPr>
                <w:rFonts w:ascii="Arial" w:hAnsi="Arial" w:cs="Arial"/>
                <w:color w:val="231F20"/>
              </w:rPr>
              <w:t xml:space="preserve">s reacciones </w:t>
            </w:r>
            <w:r w:rsidRPr="003C40C3">
              <w:rPr>
                <w:rFonts w:ascii="Arial" w:hAnsi="Arial" w:cs="Arial"/>
                <w:color w:val="231F20"/>
              </w:rPr>
              <w:t>no deben provocar respuestas negativas hacia</w:t>
            </w:r>
            <w:r>
              <w:rPr>
                <w:rFonts w:ascii="Arial" w:hAnsi="Arial" w:cs="Arial"/>
                <w:color w:val="231F20"/>
              </w:rPr>
              <w:t xml:space="preserve"> el paciente, es muy importante </w:t>
            </w:r>
            <w:r w:rsidRPr="003C40C3">
              <w:rPr>
                <w:rFonts w:ascii="Arial" w:hAnsi="Arial" w:cs="Arial"/>
                <w:color w:val="231F20"/>
              </w:rPr>
              <w:t>identificarlas y controlarlas. Como refiere Balint:</w:t>
            </w:r>
          </w:p>
          <w:p w:rsidR="003C40C3" w:rsidRPr="003C40C3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C40C3">
              <w:rPr>
                <w:rFonts w:ascii="Arial" w:hAnsi="Arial" w:cs="Arial"/>
                <w:color w:val="231F20"/>
              </w:rPr>
              <w:t xml:space="preserve">“Si el tratamiento de un paciente despierta </w:t>
            </w:r>
            <w:r>
              <w:rPr>
                <w:rFonts w:ascii="Arial" w:hAnsi="Arial" w:cs="Arial"/>
                <w:color w:val="231F20"/>
              </w:rPr>
              <w:t xml:space="preserve">en el médico cualquier reacción </w:t>
            </w:r>
            <w:r w:rsidRPr="003C40C3">
              <w:rPr>
                <w:rFonts w:ascii="Arial" w:hAnsi="Arial" w:cs="Arial"/>
                <w:color w:val="231F20"/>
              </w:rPr>
              <w:t>emotiva, este debe detenerse y examinar sus sentimie</w:t>
            </w:r>
            <w:r>
              <w:rPr>
                <w:rFonts w:ascii="Arial" w:hAnsi="Arial" w:cs="Arial"/>
                <w:color w:val="231F20"/>
              </w:rPr>
              <w:t xml:space="preserve">ntos por tratarse de un posible </w:t>
            </w:r>
            <w:r w:rsidRPr="003C40C3">
              <w:rPr>
                <w:rFonts w:ascii="Arial" w:hAnsi="Arial" w:cs="Arial"/>
                <w:color w:val="231F20"/>
              </w:rPr>
              <w:t>síntoma de la enfermedad del paciente. De ningu</w:t>
            </w:r>
            <w:r>
              <w:rPr>
                <w:rFonts w:ascii="Arial" w:hAnsi="Arial" w:cs="Arial"/>
                <w:color w:val="231F20"/>
              </w:rPr>
              <w:t xml:space="preserve">na manera debe actuar impulsado </w:t>
            </w:r>
            <w:r w:rsidRPr="003C40C3">
              <w:rPr>
                <w:rFonts w:ascii="Arial" w:hAnsi="Arial" w:cs="Arial"/>
                <w:color w:val="231F20"/>
              </w:rPr>
              <w:t>por estos sentimientos”.</w:t>
            </w:r>
            <w:r w:rsidRPr="003C40C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 xml:space="preserve">Las manifestaciones del paciente, además de </w:t>
            </w:r>
            <w:r>
              <w:rPr>
                <w:rFonts w:ascii="Arial" w:hAnsi="Arial" w:cs="Arial"/>
                <w:color w:val="231F20"/>
              </w:rPr>
              <w:t xml:space="preserve">tener un impacto negativo en su </w:t>
            </w:r>
            <w:r w:rsidRPr="003C40C3">
              <w:rPr>
                <w:rFonts w:ascii="Arial" w:hAnsi="Arial" w:cs="Arial"/>
                <w:color w:val="231F20"/>
              </w:rPr>
              <w:t>equilibrio mental, repercuten en su proceso de recuperación. Existen investigaciones</w:t>
            </w:r>
          </w:p>
          <w:p w:rsidR="003C40C3" w:rsidRPr="003C40C3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C40C3">
              <w:rPr>
                <w:rFonts w:ascii="Arial" w:hAnsi="Arial" w:cs="Arial"/>
                <w:color w:val="231F20"/>
              </w:rPr>
              <w:t>que apuntan a que la depresión desempeña un papel relevante en lo que concierne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a la fase de empeoramiento de las enfermedades, y la relacionan con una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elevada tasa de mortalidad en personas con diferentes padecimientos médicosLos familiares de los enfermos, est</w:t>
            </w:r>
            <w:r>
              <w:rPr>
                <w:rFonts w:ascii="Arial" w:hAnsi="Arial" w:cs="Arial"/>
                <w:color w:val="231F20"/>
              </w:rPr>
              <w:t>án sometidos a un fuerte estrés</w:t>
            </w:r>
            <w:r w:rsidRPr="003C40C3">
              <w:rPr>
                <w:rFonts w:ascii="Arial" w:hAnsi="Arial" w:cs="Arial"/>
                <w:color w:val="231F20"/>
              </w:rPr>
              <w:t>psico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emocional por la posible gravedad del paciente, por lo que demandan de mucha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atención y apoyo que se debe enfrentar y satisfacer. Cada familia tiene una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manera típica de relacionarse a partir de su historia y de su concepción del mundo;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en ocasiones se encierran en sí mismos y no aceptan la ayuda profesional. En estos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casos se le ofrece disposición, el resto dependerá de la demanda explícita o implícita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que hagan en tal sentido, lo más frecuente es que se muestren demandantes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información y que quieran conocer los más mínimos detalles sobre la evolución del</w:t>
            </w:r>
          </w:p>
          <w:p w:rsidR="003C40C3" w:rsidRPr="003C40C3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C40C3">
              <w:rPr>
                <w:rFonts w:ascii="Arial" w:hAnsi="Arial" w:cs="Arial"/>
                <w:color w:val="231F20"/>
              </w:rPr>
              <w:t>familiar.</w:t>
            </w:r>
          </w:p>
          <w:p w:rsidR="003C40C3" w:rsidRPr="003C40C3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C40C3">
              <w:rPr>
                <w:rFonts w:ascii="Arial" w:hAnsi="Arial" w:cs="Arial"/>
                <w:color w:val="231F20"/>
              </w:rPr>
              <w:t>Tanto el paciente como los familiares se tornan hipervigilantes, con una excesiva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atención a cuanto se hace y dice a su alrededor, por lo que el personal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enfermería debe ser cuidadoso en las expresiones referidas a posibles diagnósticos,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tratamientos, acciones, pronóstico, evolución, entre otros. En ocasiones lo que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puede resultar común y habitual para el personal asistencial puede tener una connotación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diferente para el paciente y la familia, y por tanto provocar estados emocionales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que no favorezcan su estancia en la sala. También se muestran ávidos de</w:t>
            </w:r>
          </w:p>
          <w:p w:rsidR="00C127F7" w:rsidRPr="00C127F7" w:rsidRDefault="003C40C3" w:rsidP="003C40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C40C3">
              <w:rPr>
                <w:rFonts w:ascii="Arial" w:hAnsi="Arial" w:cs="Arial"/>
                <w:color w:val="231F20"/>
              </w:rPr>
              <w:t>información sobre su estado de salud, la probable evolución o el tiempo que permanecerá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en la sala de ingresos hospitalarios. Es recomendable determinar la información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en correspondencia con el conocimiento previo que se tenga del paciente y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valorar el grado de información que cada persona sea capaz de asumir, pues con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frecuencia el paciente o el familiar no conocen en qué medida serán capaces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C40C3">
              <w:rPr>
                <w:rFonts w:ascii="Arial" w:hAnsi="Arial" w:cs="Arial"/>
                <w:color w:val="231F20"/>
              </w:rPr>
              <w:t>asumir la realidad de los hechos.</w:t>
            </w:r>
          </w:p>
        </w:tc>
      </w:tr>
    </w:tbl>
    <w:p w:rsidR="00691C1C" w:rsidRDefault="00691C1C"/>
    <w:sectPr w:rsidR="00691C1C" w:rsidSect="00260A7F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F0" w:rsidRDefault="007F0FF0" w:rsidP="001E6E58">
      <w:pPr>
        <w:spacing w:after="0" w:line="240" w:lineRule="auto"/>
      </w:pPr>
      <w:r>
        <w:separator/>
      </w:r>
    </w:p>
  </w:endnote>
  <w:endnote w:type="continuationSeparator" w:id="1">
    <w:p w:rsidR="007F0FF0" w:rsidRDefault="007F0FF0" w:rsidP="001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F0" w:rsidRDefault="007F0FF0" w:rsidP="001E6E58">
      <w:pPr>
        <w:spacing w:after="0" w:line="240" w:lineRule="auto"/>
      </w:pPr>
      <w:r>
        <w:separator/>
      </w:r>
    </w:p>
  </w:footnote>
  <w:footnote w:type="continuationSeparator" w:id="1">
    <w:p w:rsidR="007F0FF0" w:rsidRDefault="007F0FF0" w:rsidP="001E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BD9"/>
    <w:multiLevelType w:val="hybridMultilevel"/>
    <w:tmpl w:val="0F707702"/>
    <w:lvl w:ilvl="0" w:tplc="FFFFFFFF">
      <w:numFmt w:val="bullet"/>
      <w:lvlText w:val="●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F5D74"/>
    <w:multiLevelType w:val="hybridMultilevel"/>
    <w:tmpl w:val="C8B67500"/>
    <w:lvl w:ilvl="0" w:tplc="FFFFFFFF">
      <w:numFmt w:val="bullet"/>
      <w:lvlText w:val="●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FFFFFFFF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A7F"/>
    <w:rsid w:val="00006DEE"/>
    <w:rsid w:val="00123C92"/>
    <w:rsid w:val="001D4E27"/>
    <w:rsid w:val="001E6E58"/>
    <w:rsid w:val="00260A7F"/>
    <w:rsid w:val="002A124B"/>
    <w:rsid w:val="003249FD"/>
    <w:rsid w:val="003C40C3"/>
    <w:rsid w:val="00433543"/>
    <w:rsid w:val="004754F2"/>
    <w:rsid w:val="004949FC"/>
    <w:rsid w:val="004E3C2A"/>
    <w:rsid w:val="00544E22"/>
    <w:rsid w:val="005D486D"/>
    <w:rsid w:val="0065241B"/>
    <w:rsid w:val="00654FEE"/>
    <w:rsid w:val="00691C1C"/>
    <w:rsid w:val="007F0FF0"/>
    <w:rsid w:val="00863437"/>
    <w:rsid w:val="009A3D80"/>
    <w:rsid w:val="00A151CD"/>
    <w:rsid w:val="00A24C2A"/>
    <w:rsid w:val="00BE39F6"/>
    <w:rsid w:val="00C12447"/>
    <w:rsid w:val="00C127F7"/>
    <w:rsid w:val="00D50FDB"/>
    <w:rsid w:val="00DA250D"/>
    <w:rsid w:val="00DB5A35"/>
    <w:rsid w:val="00E3061D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E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E58"/>
  </w:style>
  <w:style w:type="paragraph" w:styleId="Piedepgina">
    <w:name w:val="footer"/>
    <w:basedOn w:val="Normal"/>
    <w:link w:val="PiedepginaCar"/>
    <w:uiPriority w:val="99"/>
    <w:semiHidden/>
    <w:unhideWhenUsed/>
    <w:rsid w:val="001E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3019</Words>
  <Characters>16606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dcterms:created xsi:type="dcterms:W3CDTF">2023-02-26T23:31:00Z</dcterms:created>
  <dcterms:modified xsi:type="dcterms:W3CDTF">2023-05-04T02:11:00Z</dcterms:modified>
</cp:coreProperties>
</file>