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24" w:rsidRPr="008F162C" w:rsidRDefault="00027324" w:rsidP="0002732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/>
        </w:rPr>
      </w:pPr>
      <w:r w:rsidRPr="008832D3">
        <w:rPr>
          <w:rFonts w:ascii="Arial" w:hAnsi="Arial" w:cs="Arial"/>
          <w:b/>
          <w:bCs/>
          <w:color w:val="000000"/>
          <w:sz w:val="22"/>
          <w:szCs w:val="22"/>
        </w:rPr>
        <w:t>Facultad de Ci</w:t>
      </w:r>
      <w:r w:rsidRPr="008F162C">
        <w:rPr>
          <w:rFonts w:ascii="Arial" w:hAnsi="Arial" w:cs="Arial"/>
          <w:b/>
          <w:bCs/>
          <w:color w:val="000000"/>
          <w:sz w:val="22"/>
          <w:szCs w:val="22"/>
        </w:rPr>
        <w:t xml:space="preserve">encias Médicas de </w:t>
      </w:r>
      <w:proofErr w:type="spellStart"/>
      <w:r w:rsidRPr="008F162C">
        <w:rPr>
          <w:rFonts w:ascii="Arial" w:hAnsi="Arial" w:cs="Arial"/>
          <w:b/>
          <w:bCs/>
          <w:color w:val="000000"/>
          <w:sz w:val="22"/>
          <w:szCs w:val="22"/>
        </w:rPr>
        <w:t>Sagua</w:t>
      </w:r>
      <w:proofErr w:type="spellEnd"/>
      <w:r w:rsidRPr="008F162C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:rsidR="00027324" w:rsidRPr="008F162C" w:rsidRDefault="00027324" w:rsidP="00027324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162C">
        <w:rPr>
          <w:rFonts w:ascii="Arial" w:hAnsi="Arial" w:cs="Arial"/>
          <w:b/>
          <w:color w:val="000000"/>
          <w:sz w:val="22"/>
          <w:szCs w:val="22"/>
        </w:rPr>
        <w:t>Departamento de Tecnología de la Salud</w:t>
      </w:r>
    </w:p>
    <w:p w:rsidR="00027324" w:rsidRPr="008F162C" w:rsidRDefault="00027324" w:rsidP="0002732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Carrera: Técnico Superior de Ciclo Corto Higiene y Epidemiologia.</w:t>
      </w:r>
    </w:p>
    <w:p w:rsidR="00027324" w:rsidRPr="008F162C" w:rsidRDefault="00027324" w:rsidP="00027324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Asignatura: HIGIENE de los Alimentos. </w:t>
      </w:r>
    </w:p>
    <w:p w:rsidR="00027324" w:rsidRPr="008F162C" w:rsidRDefault="00027324" w:rsidP="00027324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162C">
        <w:rPr>
          <w:rFonts w:ascii="Arial" w:hAnsi="Arial" w:cs="Arial"/>
          <w:b/>
          <w:color w:val="000000"/>
          <w:sz w:val="22"/>
          <w:szCs w:val="22"/>
        </w:rPr>
        <w:t>1er año. Curso completo Primer Período.</w:t>
      </w:r>
    </w:p>
    <w:p w:rsidR="00027324" w:rsidRPr="008F162C" w:rsidRDefault="00027324" w:rsidP="00027324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8F162C">
        <w:rPr>
          <w:rFonts w:ascii="Arial" w:hAnsi="Arial" w:cs="Arial"/>
          <w:b/>
          <w:color w:val="000000"/>
          <w:sz w:val="22"/>
          <w:szCs w:val="22"/>
        </w:rPr>
        <w:t>Confeccionado por: Profesor Auxiliar. Lic. Marcos A Chateloin Santos.</w:t>
      </w:r>
    </w:p>
    <w:p w:rsidR="003206D3" w:rsidRPr="008F162C" w:rsidRDefault="003206D3">
      <w:pPr>
        <w:rPr>
          <w:rFonts w:ascii="Arial" w:hAnsi="Arial" w:cs="Arial"/>
          <w:sz w:val="22"/>
          <w:szCs w:val="22"/>
        </w:rPr>
      </w:pPr>
    </w:p>
    <w:p w:rsidR="00F81663" w:rsidRPr="00376EAB" w:rsidRDefault="00F81663" w:rsidP="00F81663">
      <w:pPr>
        <w:ind w:left="540" w:hanging="54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8F162C">
        <w:rPr>
          <w:rFonts w:ascii="Arial" w:hAnsi="Arial" w:cs="Arial"/>
          <w:color w:val="002060"/>
          <w:sz w:val="22"/>
          <w:szCs w:val="22"/>
        </w:rPr>
        <w:t>T</w:t>
      </w:r>
      <w:r w:rsidRPr="00376EAB">
        <w:rPr>
          <w:rFonts w:ascii="Arial" w:hAnsi="Arial" w:cs="Arial"/>
          <w:b/>
          <w:color w:val="002060"/>
          <w:sz w:val="22"/>
          <w:szCs w:val="22"/>
        </w:rPr>
        <w:t xml:space="preserve">EMA 2. ETIOLOGÍA DE LAS </w:t>
      </w:r>
      <w:r w:rsidR="00B42152" w:rsidRPr="00376EAB">
        <w:rPr>
          <w:rFonts w:ascii="Arial" w:hAnsi="Arial" w:cs="Arial"/>
          <w:b/>
          <w:color w:val="002060"/>
          <w:sz w:val="22"/>
          <w:szCs w:val="22"/>
        </w:rPr>
        <w:t>ENFERMEDADES TRANSMISIBLES</w:t>
      </w:r>
      <w:r w:rsidRPr="00376EAB">
        <w:rPr>
          <w:rFonts w:ascii="Arial" w:hAnsi="Arial" w:cs="Arial"/>
          <w:b/>
          <w:color w:val="002060"/>
          <w:sz w:val="22"/>
          <w:szCs w:val="22"/>
        </w:rPr>
        <w:t xml:space="preserve"> POR ALIMENTOS. </w:t>
      </w:r>
    </w:p>
    <w:p w:rsidR="00F81663" w:rsidRPr="00376EAB" w:rsidRDefault="00F81663" w:rsidP="00F81663">
      <w:pPr>
        <w:ind w:left="540" w:hanging="54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Objetivos.</w:t>
      </w: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F81663" w:rsidRPr="00376EAB" w:rsidRDefault="00F81663" w:rsidP="00F81663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Describir las enfermedades transmitidas por alimentos atendiendo a: agente causal, descripción de la enfermedad, sintomatología y alimentos implicados en cada una de ellas</w:t>
      </w: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Sistema de contenidos:</w:t>
      </w: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81663" w:rsidRPr="00376EAB" w:rsidRDefault="00F81663" w:rsidP="00F81663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2.1- Enfermedades Transmitidas por Alimentos. Definición.</w:t>
      </w:r>
    </w:p>
    <w:p w:rsidR="00F81663" w:rsidRPr="00376EAB" w:rsidRDefault="00F81663" w:rsidP="00F81663">
      <w:pPr>
        <w:ind w:left="709" w:hanging="709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2.2- Descripción de las Intoxicaciones alimentarias de acuerdo a: agentes etiológicos</w:t>
      </w:r>
      <w:r w:rsidR="006B546A" w:rsidRPr="00376EAB">
        <w:rPr>
          <w:rFonts w:ascii="Arial" w:hAnsi="Arial" w:cs="Arial"/>
          <w:b/>
          <w:color w:val="002060"/>
          <w:sz w:val="22"/>
          <w:szCs w:val="22"/>
        </w:rPr>
        <w:t>, descripción</w:t>
      </w:r>
      <w:r w:rsidRPr="00376EAB">
        <w:rPr>
          <w:rFonts w:ascii="Arial" w:hAnsi="Arial" w:cs="Arial"/>
          <w:b/>
          <w:color w:val="002060"/>
          <w:sz w:val="22"/>
          <w:szCs w:val="22"/>
        </w:rPr>
        <w:t xml:space="preserve"> de las enfermedades, alimentos implicados y fuentes de contaminación: </w:t>
      </w:r>
    </w:p>
    <w:p w:rsidR="00F81663" w:rsidRPr="00376EAB" w:rsidRDefault="00F81663" w:rsidP="00F81663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  <w:lang w:val="pt-BR"/>
        </w:rPr>
      </w:pPr>
      <w:r w:rsidRPr="00376EAB">
        <w:rPr>
          <w:rFonts w:ascii="Arial" w:hAnsi="Arial" w:cs="Arial"/>
          <w:b/>
          <w:color w:val="002060"/>
          <w:sz w:val="22"/>
          <w:szCs w:val="22"/>
          <w:lang w:val="pt-BR"/>
        </w:rPr>
        <w:t>2.2.1-Enfermedades de origen bacterianas: Salmonelosis, Brucelosis, Tuberculosis, intoxicaciones estafilocócicas, Closdridium: perfringens y botulinum, Bacilus cereus, Echerichia coli, Shigelosis,</w:t>
      </w:r>
    </w:p>
    <w:p w:rsidR="00F81663" w:rsidRPr="00376EAB" w:rsidRDefault="00F81663" w:rsidP="00F81663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  <w:lang w:val="pt-BR"/>
        </w:rPr>
        <w:t>2.2.2-Enfermedades de origen</w:t>
      </w:r>
      <w:r w:rsidRPr="00376EAB">
        <w:rPr>
          <w:rFonts w:ascii="Arial" w:hAnsi="Arial" w:cs="Arial"/>
          <w:b/>
          <w:color w:val="002060"/>
          <w:sz w:val="22"/>
          <w:szCs w:val="22"/>
        </w:rPr>
        <w:t xml:space="preserve"> Viral: Hepatitis virales</w:t>
      </w:r>
    </w:p>
    <w:p w:rsidR="00F81663" w:rsidRPr="00376EAB" w:rsidRDefault="00F81663" w:rsidP="00F81663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  <w:lang w:val="pt-BR"/>
        </w:rPr>
        <w:t>2.2.3-Enfermedades de origen</w:t>
      </w:r>
      <w:r w:rsidRPr="00376EAB">
        <w:rPr>
          <w:rFonts w:ascii="Arial" w:hAnsi="Arial" w:cs="Arial"/>
          <w:b/>
          <w:color w:val="002060"/>
          <w:sz w:val="22"/>
          <w:szCs w:val="22"/>
        </w:rPr>
        <w:t xml:space="preserve"> Parasitarias: Triquinosis, disentería amebiana, Teniasis, Giardiasis, </w:t>
      </w:r>
    </w:p>
    <w:p w:rsidR="00F81663" w:rsidRPr="00376EAB" w:rsidRDefault="00F81663" w:rsidP="00F81663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</w:rPr>
        <w:t>2.2.4</w:t>
      </w:r>
      <w:r w:rsidRPr="00376EAB">
        <w:rPr>
          <w:rFonts w:ascii="Arial" w:hAnsi="Arial" w:cs="Arial"/>
          <w:b/>
          <w:color w:val="002060"/>
          <w:sz w:val="22"/>
          <w:szCs w:val="22"/>
          <w:lang w:val="pt-BR"/>
        </w:rPr>
        <w:t>Enfermedades ocasionadas por: p</w:t>
      </w:r>
      <w:r w:rsidRPr="00376EAB">
        <w:rPr>
          <w:rFonts w:ascii="Arial" w:hAnsi="Arial" w:cs="Arial"/>
          <w:b/>
          <w:color w:val="002060"/>
          <w:sz w:val="22"/>
          <w:szCs w:val="22"/>
        </w:rPr>
        <w:t>lantas y animales venenosos: Escombroides</w:t>
      </w:r>
      <w:bookmarkStart w:id="0" w:name="_GoBack"/>
      <w:bookmarkEnd w:id="0"/>
      <w:r w:rsidRPr="00376EAB">
        <w:rPr>
          <w:rFonts w:ascii="Arial" w:hAnsi="Arial" w:cs="Arial"/>
          <w:b/>
          <w:color w:val="002060"/>
          <w:sz w:val="22"/>
          <w:szCs w:val="22"/>
        </w:rPr>
        <w:t>, intoxicaciones por toxinas marinas, ciguatera.</w:t>
      </w:r>
    </w:p>
    <w:p w:rsidR="00F81663" w:rsidRPr="00376EAB" w:rsidRDefault="00F81663" w:rsidP="00F81663">
      <w:pPr>
        <w:ind w:left="72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76EAB">
        <w:rPr>
          <w:rFonts w:ascii="Arial" w:hAnsi="Arial" w:cs="Arial"/>
          <w:b/>
          <w:color w:val="002060"/>
          <w:sz w:val="22"/>
          <w:szCs w:val="22"/>
          <w:lang w:val="pt-BR"/>
        </w:rPr>
        <w:t xml:space="preserve">2.2.5-Enfermedades por </w:t>
      </w:r>
      <w:r w:rsidRPr="00376EAB">
        <w:rPr>
          <w:rFonts w:ascii="Arial" w:hAnsi="Arial" w:cs="Arial"/>
          <w:b/>
          <w:color w:val="002060"/>
          <w:sz w:val="22"/>
          <w:szCs w:val="22"/>
        </w:rPr>
        <w:t>Metales pesados: Cadmio, Plomo, Estaño, Mercurio, Cobre.</w:t>
      </w:r>
    </w:p>
    <w:p w:rsidR="00F81663" w:rsidRPr="008F162C" w:rsidRDefault="00F81663">
      <w:pPr>
        <w:rPr>
          <w:rFonts w:ascii="Arial" w:hAnsi="Arial" w:cs="Arial"/>
          <w:sz w:val="22"/>
          <w:szCs w:val="22"/>
        </w:rPr>
      </w:pPr>
    </w:p>
    <w:p w:rsidR="00BD1BC5" w:rsidRPr="008F162C" w:rsidRDefault="00BD1BC5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Desarrollo:</w:t>
      </w:r>
    </w:p>
    <w:p w:rsidR="00BD1BC5" w:rsidRPr="008F162C" w:rsidRDefault="00BD1BC5">
      <w:pPr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2.1 Enfermedades Transmitidas por Alimentos. Definición.</w:t>
      </w:r>
    </w:p>
    <w:p w:rsidR="00BD1BC5" w:rsidRPr="008F162C" w:rsidRDefault="00BD1BC5" w:rsidP="00BD1BC5">
      <w:pPr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Es un síndrome originado por la ingestión de alimentos y/o agua, que contengan agentes etiológicos en cantidades tales que afecten la salud del consumidor a nivel individual o grupos de población.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42152" w:rsidP="00BD1BC5">
      <w:pPr>
        <w:rPr>
          <w:rFonts w:ascii="Arial" w:hAnsi="Arial" w:cs="Arial"/>
          <w:b/>
          <w:bCs/>
          <w:i/>
          <w:iCs/>
          <w:sz w:val="22"/>
          <w:szCs w:val="22"/>
          <w:lang w:val="es-MX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CLASIFICACION DE</w:t>
      </w:r>
      <w:r w:rsidR="00BD1BC5" w:rsidRPr="008F162C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 xml:space="preserve"> LAS ENFERMEDADES TRANSMITIDAS POR LOS ALIMENTOS</w:t>
      </w:r>
    </w:p>
    <w:p w:rsidR="00BD1BC5" w:rsidRPr="008F162C" w:rsidRDefault="00BD1BC5" w:rsidP="00BD1BC5">
      <w:pPr>
        <w:rPr>
          <w:rFonts w:ascii="Arial" w:hAnsi="Arial" w:cs="Arial"/>
          <w:i/>
          <w:iCs/>
          <w:sz w:val="22"/>
          <w:szCs w:val="22"/>
        </w:rPr>
      </w:pPr>
    </w:p>
    <w:p w:rsidR="00BD1BC5" w:rsidRPr="008F162C" w:rsidRDefault="00BD1BC5" w:rsidP="00BD1BC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8F162C">
        <w:rPr>
          <w:rFonts w:ascii="Arial" w:hAnsi="Arial" w:cs="Arial"/>
          <w:i/>
          <w:iCs/>
          <w:sz w:val="22"/>
          <w:szCs w:val="22"/>
        </w:rPr>
        <w:t>Enfermedades Bacterianas.</w:t>
      </w:r>
    </w:p>
    <w:p w:rsidR="00BD1BC5" w:rsidRPr="008F162C" w:rsidRDefault="00BD1BC5" w:rsidP="00BD1BC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F162C">
        <w:rPr>
          <w:rFonts w:ascii="Arial" w:hAnsi="Arial" w:cs="Arial"/>
          <w:i/>
          <w:iCs/>
          <w:sz w:val="22"/>
          <w:szCs w:val="22"/>
        </w:rPr>
        <w:t xml:space="preserve"> Enfermedades Virales.</w:t>
      </w:r>
    </w:p>
    <w:p w:rsidR="00BD1BC5" w:rsidRPr="008F162C" w:rsidRDefault="00BD1BC5" w:rsidP="00BD1BC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F162C">
        <w:rPr>
          <w:rFonts w:ascii="Arial" w:hAnsi="Arial" w:cs="Arial"/>
          <w:i/>
          <w:iCs/>
          <w:sz w:val="22"/>
          <w:szCs w:val="22"/>
        </w:rPr>
        <w:t xml:space="preserve"> Enfermedades Parasitarias.</w:t>
      </w:r>
    </w:p>
    <w:p w:rsidR="00BD1BC5" w:rsidRPr="008F162C" w:rsidRDefault="00BD1BC5" w:rsidP="00BD1BC5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8F162C">
        <w:rPr>
          <w:rFonts w:ascii="Arial" w:hAnsi="Arial" w:cs="Arial"/>
          <w:i/>
          <w:iCs/>
          <w:sz w:val="22"/>
          <w:szCs w:val="22"/>
        </w:rPr>
        <w:t xml:space="preserve"> Enfermedades no infecciosas.</w:t>
      </w:r>
    </w:p>
    <w:p w:rsidR="00BD1BC5" w:rsidRPr="008F162C" w:rsidRDefault="00BD1BC5" w:rsidP="00BD1BC5">
      <w:pPr>
        <w:rPr>
          <w:rFonts w:ascii="Arial" w:hAnsi="Arial" w:cs="Arial"/>
          <w:i/>
          <w:iCs/>
          <w:sz w:val="22"/>
          <w:szCs w:val="22"/>
        </w:rPr>
      </w:pPr>
    </w:p>
    <w:p w:rsidR="00BD1BC5" w:rsidRPr="008F162C" w:rsidRDefault="00B42152" w:rsidP="00BD1BC5">
      <w:pPr>
        <w:rPr>
          <w:rFonts w:ascii="Arial" w:hAnsi="Arial" w:cs="Arial"/>
          <w:b/>
          <w:bCs/>
          <w:i/>
          <w:iCs/>
          <w:sz w:val="22"/>
          <w:szCs w:val="22"/>
          <w:lang w:val="es-MX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CLASIFICACION DE</w:t>
      </w:r>
      <w:r w:rsidR="00BD1BC5" w:rsidRPr="008F162C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 xml:space="preserve"> LAS ENFERMEDADES TRANSMITIDAS POR LOS ALIMENTOS</w:t>
      </w:r>
    </w:p>
    <w:p w:rsidR="00BD1BC5" w:rsidRPr="008F162C" w:rsidRDefault="00BD1BC5" w:rsidP="00BD1BC5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8F162C">
        <w:rPr>
          <w:rFonts w:ascii="Arial" w:hAnsi="Arial" w:cs="Arial"/>
          <w:i/>
          <w:iCs/>
          <w:sz w:val="22"/>
          <w:szCs w:val="22"/>
        </w:rPr>
        <w:t>2.2.1 Enfermedades Bacterianas.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Shigelosis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o disentería bacilar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Intoxicación por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Staphycoccus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aureus</w:t>
      </w:r>
      <w:proofErr w:type="spellEnd"/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Enteritis por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Clostridium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perfringens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Gastroenteritis por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Bacillus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cereus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Diarreas por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Aereomonas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Campilobacteriosis</w:t>
      </w:r>
      <w:proofErr w:type="spellEnd"/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Cólera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Escherichia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coli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enterohemorragica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(ECEH), (EIEC) y (ETEC)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Botulismo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Brucelosis</w:t>
      </w:r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Listeriosis</w:t>
      </w:r>
      <w:proofErr w:type="spellEnd"/>
    </w:p>
    <w:p w:rsidR="00BD1BC5" w:rsidRPr="008F162C" w:rsidRDefault="00BD1BC5" w:rsidP="00BD1BC5">
      <w:pPr>
        <w:numPr>
          <w:ilvl w:val="0"/>
          <w:numId w:val="1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Yersiniosis</w:t>
      </w:r>
      <w:proofErr w:type="spellEnd"/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1BC5" w:rsidRPr="008F162C" w:rsidRDefault="00BD1BC5" w:rsidP="00BD1BC5">
      <w:pPr>
        <w:numPr>
          <w:ilvl w:val="0"/>
          <w:numId w:val="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2.2.2 Enfermedades Virales.</w:t>
      </w:r>
    </w:p>
    <w:p w:rsidR="00BD1BC5" w:rsidRPr="008F162C" w:rsidRDefault="00BD1BC5" w:rsidP="00BD1BC5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Hepatitis A</w:t>
      </w:r>
    </w:p>
    <w:p w:rsidR="00BD1BC5" w:rsidRPr="008F162C" w:rsidRDefault="00BD1BC5" w:rsidP="00BD1BC5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Pequeños virus redondos tipo Norwalk</w:t>
      </w: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Se clasifican en: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INFECCIONES ALIMENTARIAS:   Son las ETA producidas por la ingestión de alimentos y/o agua contaminados con agentes infecciosos específicos como bacterias, virus, hongos, parásitos.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spacing w:before="100" w:beforeAutospacing="1" w:after="100" w:afterAutospacing="1"/>
        <w:outlineLvl w:val="2"/>
        <w:rPr>
          <w:rFonts w:ascii="Arial" w:eastAsia="Arial Unicode MS" w:hAnsi="Arial" w:cs="Arial"/>
          <w:b/>
          <w:bCs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INTOXICACIONES ALIMENTARIAS: </w:t>
      </w:r>
      <w:r w:rsidRPr="008F162C">
        <w:rPr>
          <w:rFonts w:ascii="Arial" w:eastAsia="Arial Unicode MS" w:hAnsi="Arial" w:cs="Arial"/>
          <w:b/>
          <w:bCs/>
          <w:sz w:val="22"/>
          <w:szCs w:val="22"/>
        </w:rPr>
        <w:t xml:space="preserve">Intoxicaciones y </w:t>
      </w:r>
      <w:proofErr w:type="spellStart"/>
      <w:r w:rsidRPr="008F162C">
        <w:rPr>
          <w:rFonts w:ascii="Arial" w:eastAsia="Arial Unicode MS" w:hAnsi="Arial" w:cs="Arial"/>
          <w:b/>
          <w:bCs/>
          <w:sz w:val="22"/>
          <w:szCs w:val="22"/>
        </w:rPr>
        <w:t>toxi</w:t>
      </w:r>
      <w:proofErr w:type="spellEnd"/>
      <w:r w:rsidRPr="008F162C">
        <w:rPr>
          <w:rFonts w:ascii="Arial" w:eastAsia="Arial Unicode MS" w:hAnsi="Arial" w:cs="Arial"/>
          <w:b/>
          <w:bCs/>
          <w:sz w:val="22"/>
          <w:szCs w:val="22"/>
        </w:rPr>
        <w:t xml:space="preserve">-infecciones alimentarias </w:t>
      </w:r>
    </w:p>
    <w:p w:rsidR="00BD1BC5" w:rsidRPr="008F162C" w:rsidRDefault="00BD1BC5" w:rsidP="00BD1BC5">
      <w:pPr>
        <w:spacing w:before="100" w:beforeAutospacing="1" w:after="100" w:afterAutospacing="1"/>
        <w:outlineLvl w:val="3"/>
        <w:rPr>
          <w:rFonts w:ascii="Arial" w:eastAsia="Arial Unicode MS" w:hAnsi="Arial" w:cs="Arial"/>
          <w:b/>
          <w:bCs/>
          <w:sz w:val="22"/>
          <w:szCs w:val="22"/>
        </w:rPr>
      </w:pPr>
      <w:r w:rsidRPr="008F162C">
        <w:rPr>
          <w:rFonts w:ascii="Arial" w:eastAsia="Arial Unicode MS" w:hAnsi="Arial" w:cs="Arial"/>
          <w:b/>
          <w:bCs/>
          <w:sz w:val="22"/>
          <w:szCs w:val="22"/>
        </w:rPr>
        <w:t>Características:</w:t>
      </w:r>
    </w:p>
    <w:p w:rsidR="00BD1BC5" w:rsidRPr="008F162C" w:rsidRDefault="00BD1BC5" w:rsidP="00BD1BC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cuadros de aparición brusca (explosiva) </w:t>
      </w:r>
    </w:p>
    <w:p w:rsidR="00BD1BC5" w:rsidRPr="008F162C" w:rsidRDefault="00BD1BC5" w:rsidP="00BD1BC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aparecen corto tiempo después de ingerir alimentos </w:t>
      </w:r>
    </w:p>
    <w:p w:rsidR="00BD1BC5" w:rsidRPr="008F162C" w:rsidRDefault="00BD1BC5" w:rsidP="00BD1BC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afectan a gran número de comensales </w:t>
      </w:r>
    </w:p>
    <w:p w:rsidR="00BD1BC5" w:rsidRPr="008F162C" w:rsidRDefault="00BD1BC5" w:rsidP="00BD1BC5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predominio de signos y síntomas digestivos </w:t>
      </w:r>
    </w:p>
    <w:p w:rsidR="00BD1BC5" w:rsidRPr="008F162C" w:rsidRDefault="00BD1BC5" w:rsidP="00BD1BC5">
      <w:pPr>
        <w:spacing w:before="100" w:beforeAutospacing="1" w:after="100" w:afterAutospacing="1"/>
        <w:outlineLvl w:val="3"/>
        <w:rPr>
          <w:rFonts w:ascii="Arial" w:eastAsia="Arial Unicode MS" w:hAnsi="Arial" w:cs="Arial"/>
          <w:b/>
          <w:bCs/>
          <w:sz w:val="22"/>
          <w:szCs w:val="22"/>
        </w:rPr>
      </w:pPr>
      <w:r w:rsidRPr="008F162C">
        <w:rPr>
          <w:rFonts w:ascii="Arial" w:eastAsia="Arial Unicode MS" w:hAnsi="Arial" w:cs="Arial"/>
          <w:b/>
          <w:bCs/>
          <w:sz w:val="22"/>
          <w:szCs w:val="22"/>
        </w:rPr>
        <w:t>Causas:</w:t>
      </w:r>
    </w:p>
    <w:p w:rsidR="00BD1BC5" w:rsidRPr="008F162C" w:rsidRDefault="00BD1BC5" w:rsidP="00BD1B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mala manipulación de alimentos </w:t>
      </w:r>
    </w:p>
    <w:p w:rsidR="00BD1BC5" w:rsidRPr="008F162C" w:rsidRDefault="00BD1BC5" w:rsidP="00BD1B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consumir alimentos largo tiempo después de su confección </w:t>
      </w:r>
    </w:p>
    <w:p w:rsidR="00BD1BC5" w:rsidRPr="008F162C" w:rsidRDefault="00BD1BC5" w:rsidP="00BD1BC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más frecuente: consumo de alimentos ricos en </w:t>
      </w:r>
      <w:proofErr w:type="spellStart"/>
      <w:r w:rsidRPr="008F162C">
        <w:rPr>
          <w:rFonts w:ascii="Arial" w:hAnsi="Arial" w:cs="Arial"/>
          <w:sz w:val="22"/>
          <w:szCs w:val="22"/>
        </w:rPr>
        <w:t>proteinas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dejados a temperatura ambiente durante mucho tiempo </w:t>
      </w:r>
    </w:p>
    <w:p w:rsidR="00BD1BC5" w:rsidRPr="008F162C" w:rsidRDefault="00BD1BC5" w:rsidP="00BD1BC5">
      <w:pPr>
        <w:rPr>
          <w:rFonts w:ascii="Arial" w:eastAsia="Arial Unicode MS" w:hAnsi="Arial" w:cs="Arial"/>
          <w:sz w:val="22"/>
          <w:szCs w:val="22"/>
        </w:rPr>
      </w:pPr>
      <w:r w:rsidRPr="008F162C">
        <w:rPr>
          <w:rFonts w:ascii="Arial" w:eastAsia="Arial Unicode MS" w:hAnsi="Arial" w:cs="Arial"/>
          <w:sz w:val="22"/>
          <w:szCs w:val="22"/>
        </w:rPr>
        <w:t xml:space="preserve">Agente etiológico más común: estafilococo áureo B hemolítico </w:t>
      </w:r>
      <w:proofErr w:type="spellStart"/>
      <w:r w:rsidRPr="008F162C">
        <w:rPr>
          <w:rFonts w:ascii="Arial" w:eastAsia="Arial Unicode MS" w:hAnsi="Arial" w:cs="Arial"/>
          <w:sz w:val="22"/>
          <w:szCs w:val="22"/>
        </w:rPr>
        <w:t>coagulasa</w:t>
      </w:r>
      <w:proofErr w:type="spellEnd"/>
      <w:r w:rsidRPr="008F162C">
        <w:rPr>
          <w:rFonts w:ascii="Arial" w:eastAsia="Arial Unicode MS" w:hAnsi="Arial" w:cs="Arial"/>
          <w:sz w:val="22"/>
          <w:szCs w:val="22"/>
        </w:rPr>
        <w:t xml:space="preserve"> +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2.2 Descripción de las Intoxicaciones alimentarias de acuerdo a: agentes etiológicos</w:t>
      </w:r>
      <w:r w:rsidR="00B42152" w:rsidRPr="008F162C">
        <w:rPr>
          <w:rFonts w:ascii="Arial" w:hAnsi="Arial" w:cs="Arial"/>
          <w:b/>
          <w:sz w:val="22"/>
          <w:szCs w:val="22"/>
        </w:rPr>
        <w:t>, descripción</w:t>
      </w:r>
      <w:r w:rsidRPr="008F162C">
        <w:rPr>
          <w:rFonts w:ascii="Arial" w:hAnsi="Arial" w:cs="Arial"/>
          <w:b/>
          <w:sz w:val="22"/>
          <w:szCs w:val="22"/>
        </w:rPr>
        <w:t xml:space="preserve"> de las enfermedades, alimentos implicados y fuentes de contaminación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Descripción, agentes y alimentos implicados en cada una de ellas.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Tomo II Higiene del Medio Página 472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Intoxicaciones de Origen Bacteriano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218"/>
        <w:gridCol w:w="4197"/>
      </w:tblGrid>
      <w:tr w:rsidR="00BD1BC5" w:rsidRPr="008F162C" w:rsidTr="00DA2895">
        <w:tc>
          <w:tcPr>
            <w:tcW w:w="1733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2268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Agente Etiológico</w:t>
            </w:r>
          </w:p>
        </w:tc>
        <w:tc>
          <w:tcPr>
            <w:tcW w:w="4359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Alimentos generalmente implicados</w:t>
            </w:r>
          </w:p>
        </w:tc>
      </w:tr>
      <w:tr w:rsidR="00BD1BC5" w:rsidRPr="008F162C" w:rsidTr="00DA2895">
        <w:tc>
          <w:tcPr>
            <w:tcW w:w="1733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Botulismo</w:t>
            </w:r>
          </w:p>
        </w:tc>
        <w:tc>
          <w:tcPr>
            <w:tcW w:w="2268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 xml:space="preserve">Toxinas A,B o C del </w:t>
            </w: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Clostridium</w:t>
            </w:r>
            <w:proofErr w:type="spellEnd"/>
            <w:r w:rsidRPr="008F16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Botulinum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Alimentos preparados en el hogar.</w:t>
            </w:r>
          </w:p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Conservas que contienen proteínas</w:t>
            </w:r>
          </w:p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Alimentos mal envasados con pH sobre 4.5</w:t>
            </w:r>
          </w:p>
        </w:tc>
      </w:tr>
      <w:tr w:rsidR="00BD1BC5" w:rsidRPr="008F162C" w:rsidTr="00DA2895">
        <w:tc>
          <w:tcPr>
            <w:tcW w:w="1733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Intoxicación alimentaria por toxina estafilocócica</w:t>
            </w:r>
          </w:p>
        </w:tc>
        <w:tc>
          <w:tcPr>
            <w:tcW w:w="2268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Enterotoxina</w:t>
            </w:r>
            <w:proofErr w:type="spellEnd"/>
            <w:r w:rsidRPr="008F162C">
              <w:rPr>
                <w:rFonts w:ascii="Arial" w:hAnsi="Arial" w:cs="Arial"/>
                <w:sz w:val="22"/>
                <w:szCs w:val="22"/>
              </w:rPr>
              <w:t xml:space="preserve"> producida por Estafilococos</w:t>
            </w:r>
          </w:p>
        </w:tc>
        <w:tc>
          <w:tcPr>
            <w:tcW w:w="4359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Ensaladas de alimentos que contienen proteínas</w:t>
            </w:r>
          </w:p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Flanes, salsas, cremas, natillas, alimentos sobrantes recalentados, pudines de pan, jamón cocido</w:t>
            </w:r>
          </w:p>
        </w:tc>
      </w:tr>
      <w:tr w:rsidR="00BD1BC5" w:rsidRPr="008F162C" w:rsidTr="00DA2895">
        <w:tc>
          <w:tcPr>
            <w:tcW w:w="1733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 xml:space="preserve">Intoxicación alimentaria causada por </w:t>
            </w: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Clostridium</w:t>
            </w:r>
            <w:proofErr w:type="spellEnd"/>
            <w:r w:rsidRPr="008F16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Clostridium</w:t>
            </w:r>
            <w:proofErr w:type="spellEnd"/>
            <w:r w:rsidRPr="008F16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162C">
              <w:rPr>
                <w:rFonts w:ascii="Arial" w:hAnsi="Arial" w:cs="Arial"/>
                <w:sz w:val="22"/>
                <w:szCs w:val="22"/>
              </w:rPr>
              <w:t>Welchii</w:t>
            </w:r>
            <w:proofErr w:type="spellEnd"/>
            <w:r w:rsidRPr="008F162C">
              <w:rPr>
                <w:rFonts w:ascii="Arial" w:hAnsi="Arial" w:cs="Arial"/>
                <w:sz w:val="22"/>
                <w:szCs w:val="22"/>
              </w:rPr>
              <w:t xml:space="preserve"> tipo A</w:t>
            </w:r>
          </w:p>
        </w:tc>
        <w:tc>
          <w:tcPr>
            <w:tcW w:w="4359" w:type="dxa"/>
            <w:shd w:val="clear" w:color="auto" w:fill="auto"/>
          </w:tcPr>
          <w:p w:rsidR="00BD1BC5" w:rsidRPr="008F162C" w:rsidRDefault="00BD1BC5" w:rsidP="00DA2895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62C">
              <w:rPr>
                <w:rFonts w:ascii="Arial" w:hAnsi="Arial" w:cs="Arial"/>
                <w:sz w:val="22"/>
                <w:szCs w:val="22"/>
              </w:rPr>
              <w:t>Carne insuficientemente cocida, hervida al vapor, a la parrilla o estofada, enfriada lentamente y servida al día siguiente, ya sea fría o recalentada</w:t>
            </w:r>
          </w:p>
        </w:tc>
      </w:tr>
    </w:tbl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INTOXICACION POR ESTAFILOCOCOS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Agente: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Enterotoxina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Staphylococcus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aureus</w:t>
      </w:r>
      <w:proofErr w:type="spellEnd"/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Características del agente: Su toxina es resistente a temperatura de ebullición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P. incubación: 30 minutos a 8 horas ( </w:t>
      </w:r>
      <w:smartTag w:uri="urn:schemas-microsoft-com:office:smarttags" w:element="metricconverter">
        <w:smartTagPr>
          <w:attr w:name="ProductID" w:val="2 a"/>
        </w:smartTagPr>
        <w:r w:rsidRPr="008F162C">
          <w:rPr>
            <w:rFonts w:ascii="Arial" w:hAnsi="Arial" w:cs="Arial"/>
            <w:b/>
            <w:bCs/>
            <w:i/>
            <w:iCs/>
            <w:sz w:val="22"/>
            <w:szCs w:val="22"/>
          </w:rPr>
          <w:t>2 a</w:t>
        </w:r>
      </w:smartTag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4 horas)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Síntomas: Náuseas, dolores abdominales, vómitos, diarreas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Duración: </w:t>
      </w:r>
      <w:smartTag w:uri="urn:schemas-microsoft-com:office:smarttags" w:element="metricconverter">
        <w:smartTagPr>
          <w:attr w:name="ProductID" w:val="1 a"/>
        </w:smartTagPr>
        <w:r w:rsidRPr="008F162C">
          <w:rPr>
            <w:rFonts w:ascii="Arial" w:hAnsi="Arial" w:cs="Arial"/>
            <w:b/>
            <w:bCs/>
            <w:i/>
            <w:iCs/>
            <w:sz w:val="22"/>
            <w:szCs w:val="22"/>
          </w:rPr>
          <w:t>1 a</w:t>
        </w:r>
      </w:smartTag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2 días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Reservorio: Humano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Modo de transmisión: Por la ingestión de alimentos con toxinas preformadas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Medidas de control: Control de la  temperatura de conservación post tratamiento, higiene en la manipulación</w:t>
      </w:r>
    </w:p>
    <w:p w:rsidR="00BD1BC5" w:rsidRPr="008F162C" w:rsidRDefault="00BD1BC5" w:rsidP="00BD1BC5">
      <w:pPr>
        <w:numPr>
          <w:ilvl w:val="0"/>
          <w:numId w:val="9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Alimentos implicado: Jamón, productos de carne de res o aves, pasteles rellenos de crema, mezclas de alimentos y huevo.</w:t>
      </w: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ENTERITIS POR C. PERFRINGENS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Agente: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Clostridium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perfringens</w:t>
      </w:r>
      <w:proofErr w:type="spellEnd"/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P. incubación: 6- 24 horas (promedio 10 horas)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Síntomas: Dolor abdominal, diarreas  raramente vómitos y fiebre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Duración: 1 - 2 días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Reservorio: Tierra, suciedad, heces, piensos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Modo de transmisión: Cocción insuficiente, conservación inadecuada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Medidas de control: Cocción y refrigeración. Cocción de piezas de carne pequeñas, fuerte recalentamiento antes del consumo</w:t>
      </w:r>
    </w:p>
    <w:p w:rsidR="00BD1BC5" w:rsidRPr="008F162C" w:rsidRDefault="00BD1BC5" w:rsidP="00BD1BC5">
      <w:pPr>
        <w:numPr>
          <w:ilvl w:val="0"/>
          <w:numId w:val="10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Alimentos implicados: Carne de res o ave cocida, caldos, salsas y sopas.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BOTULISMO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Agente: 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Clostridium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botulinum</w:t>
      </w:r>
      <w:proofErr w:type="spellEnd"/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P. incubación: 18 - 36 horas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Síntomas: Vómitos, dolor abdominal, fatiga, debilidad muscular, visión borrosa o doble  visión, dilatación de las pupilas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Duración: Días hasta 8 meses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Reservorio: Tierra, sedimentos marinos, tracto intestinal de peces, animales, aves e insectos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Modo de transmisión: Ingestión de toxinas preformadas 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Medidas de control: Hervir los alimentos, </w:t>
      </w:r>
      <w:proofErr w:type="spellStart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Tto</w:t>
      </w:r>
      <w:proofErr w:type="spellEnd"/>
      <w:r w:rsidRPr="008F162C">
        <w:rPr>
          <w:rFonts w:ascii="Arial" w:hAnsi="Arial" w:cs="Arial"/>
          <w:b/>
          <w:bCs/>
          <w:i/>
          <w:iCs/>
          <w:sz w:val="22"/>
          <w:szCs w:val="22"/>
        </w:rPr>
        <w:t xml:space="preserve"> térmico de los alimentos.</w:t>
      </w:r>
    </w:p>
    <w:p w:rsidR="00BD1BC5" w:rsidRPr="008F162C" w:rsidRDefault="00BD1BC5" w:rsidP="00BD1BC5">
      <w:pPr>
        <w:numPr>
          <w:ilvl w:val="0"/>
          <w:numId w:val="1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t>Alimentos implicados: Conservas caseras poco ácidas (pH 4.6), pescado empacado al vació, huevos de pescado fermentados, conservas</w:t>
      </w: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1BC5" w:rsidRPr="008F162C" w:rsidRDefault="00BD1BC5" w:rsidP="00BD1BC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F162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 </w:t>
      </w:r>
    </w:p>
    <w:p w:rsidR="00BD1BC5" w:rsidRPr="008F162C" w:rsidRDefault="00BD1BC5" w:rsidP="00BD1BC5">
      <w:pPr>
        <w:widowControl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Triquinosis: </w:t>
      </w:r>
      <w:r w:rsidRPr="008F162C">
        <w:rPr>
          <w:rFonts w:ascii="Arial" w:hAnsi="Arial" w:cs="Arial"/>
          <w:sz w:val="22"/>
          <w:szCs w:val="22"/>
        </w:rPr>
        <w:t xml:space="preserve">Es una infección causada por </w:t>
      </w:r>
      <w:proofErr w:type="spellStart"/>
      <w:r w:rsidRPr="008F162C">
        <w:rPr>
          <w:rFonts w:ascii="Arial" w:hAnsi="Arial" w:cs="Arial"/>
          <w:sz w:val="22"/>
          <w:szCs w:val="22"/>
        </w:rPr>
        <w:t>Trichinella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sz w:val="22"/>
          <w:szCs w:val="22"/>
        </w:rPr>
        <w:t>spiralis</w:t>
      </w:r>
      <w:proofErr w:type="spellEnd"/>
      <w:r w:rsidRPr="008F162C">
        <w:rPr>
          <w:rFonts w:ascii="Arial" w:hAnsi="Arial" w:cs="Arial"/>
          <w:sz w:val="22"/>
          <w:szCs w:val="22"/>
        </w:rPr>
        <w:t>, frecuentemente asintomática, puede causar de acuerdo con la localización dolores musculares, debilidad, manifestaciones oculares, síntomas intestinales por los vermes adultos, incluso la muerte por debilidad del miocardio.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Reservorio: </w:t>
      </w:r>
      <w:r w:rsidRPr="008F162C">
        <w:rPr>
          <w:rFonts w:ascii="Arial" w:hAnsi="Arial" w:cs="Arial"/>
          <w:sz w:val="22"/>
          <w:szCs w:val="22"/>
        </w:rPr>
        <w:t>Cerdo fundamentalmente y otros animales.</w:t>
      </w:r>
      <w:r w:rsidRPr="008F162C">
        <w:rPr>
          <w:rFonts w:ascii="Arial" w:hAnsi="Arial" w:cs="Arial"/>
          <w:b/>
          <w:sz w:val="22"/>
          <w:szCs w:val="22"/>
        </w:rPr>
        <w:t xml:space="preserve"> 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Período de incubación: </w:t>
      </w:r>
      <w:r w:rsidRPr="008F162C">
        <w:rPr>
          <w:rFonts w:ascii="Arial" w:hAnsi="Arial" w:cs="Arial"/>
          <w:sz w:val="22"/>
          <w:szCs w:val="22"/>
        </w:rPr>
        <w:t>Casi siempre entre 8n y 45 días.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Modo de transmisión</w:t>
      </w:r>
      <w:r w:rsidRPr="008F162C">
        <w:rPr>
          <w:rFonts w:ascii="Arial" w:hAnsi="Arial" w:cs="Arial"/>
          <w:sz w:val="22"/>
          <w:szCs w:val="22"/>
        </w:rPr>
        <w:t>: Por la ingestión de carnes de cerdo mal cocida que contiene larvas viables. En el intestino las larvas se transforman vermes adulto, se reproducen y la hembra libera larvas que penetran en los vasos linfáticos y de diseminan por todo el organismo y se encapsulan en varios órganos.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preventivas:</w:t>
      </w:r>
    </w:p>
    <w:p w:rsidR="00BD1BC5" w:rsidRPr="008F162C" w:rsidRDefault="00BD1BC5" w:rsidP="00BD1B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Cocción completa de la carne de cerdo.</w:t>
      </w:r>
    </w:p>
    <w:p w:rsidR="00BD1BC5" w:rsidRPr="008F162C" w:rsidRDefault="00BD1BC5" w:rsidP="00BD1B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La congelación a -25ºC durante 10 días destruye los quistes o durante 30 días a -10ºC.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Disentería amebiana: </w:t>
      </w:r>
      <w:r w:rsidRPr="008F162C">
        <w:rPr>
          <w:rFonts w:ascii="Arial" w:hAnsi="Arial" w:cs="Arial"/>
          <w:sz w:val="22"/>
          <w:szCs w:val="22"/>
        </w:rPr>
        <w:t xml:space="preserve">Enfermedad producida por la </w:t>
      </w:r>
      <w:proofErr w:type="spellStart"/>
      <w:r w:rsidRPr="008F162C">
        <w:rPr>
          <w:rFonts w:ascii="Arial" w:hAnsi="Arial" w:cs="Arial"/>
          <w:sz w:val="22"/>
          <w:szCs w:val="22"/>
        </w:rPr>
        <w:t>Entamoeba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sz w:val="22"/>
          <w:szCs w:val="22"/>
        </w:rPr>
        <w:t>histolytica</w:t>
      </w:r>
      <w:proofErr w:type="spellEnd"/>
      <w:r w:rsidRPr="008F162C">
        <w:rPr>
          <w:rFonts w:ascii="Arial" w:hAnsi="Arial" w:cs="Arial"/>
          <w:sz w:val="22"/>
          <w:szCs w:val="22"/>
        </w:rPr>
        <w:t>. Son frecuentes las infecciones asintomáticas, pueden causar cuadros gastrointestinales desde la disentería amebiana con fiebre, escalofríos y diarreas sanguinolentas hasta períodos de constipación, también se presentan las formas extra intestinales con abscesos en hígado, pulmones o cerebro.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Reservorio: </w:t>
      </w:r>
      <w:r w:rsidRPr="008F162C">
        <w:rPr>
          <w:rFonts w:ascii="Arial" w:hAnsi="Arial" w:cs="Arial"/>
          <w:sz w:val="22"/>
          <w:szCs w:val="22"/>
        </w:rPr>
        <w:t>Hombre.</w:t>
      </w:r>
      <w:r w:rsidRPr="008F162C">
        <w:rPr>
          <w:rFonts w:ascii="Arial" w:hAnsi="Arial" w:cs="Arial"/>
          <w:b/>
          <w:sz w:val="22"/>
          <w:szCs w:val="22"/>
        </w:rPr>
        <w:t xml:space="preserve"> 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Período de incubación: </w:t>
      </w:r>
      <w:r w:rsidRPr="008F162C">
        <w:rPr>
          <w:rFonts w:ascii="Arial" w:hAnsi="Arial" w:cs="Arial"/>
          <w:sz w:val="22"/>
          <w:szCs w:val="22"/>
        </w:rPr>
        <w:t xml:space="preserve">Frecuentemente entre 2 y 4 semanas, a veces más.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Modo de transmisión</w:t>
      </w:r>
      <w:r w:rsidRPr="008F162C">
        <w:rPr>
          <w:rFonts w:ascii="Arial" w:hAnsi="Arial" w:cs="Arial"/>
          <w:sz w:val="22"/>
          <w:szCs w:val="22"/>
        </w:rPr>
        <w:t>: Por la ingestión de agua y alimentos contaminados con quistes infecciosos.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preventivas:</w:t>
      </w:r>
    </w:p>
    <w:p w:rsidR="00BD1BC5" w:rsidRPr="008F162C" w:rsidRDefault="00BD1BC5" w:rsidP="00BD1B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Educación sanitaria, especialmente a los manipuladores de alimentos. </w:t>
      </w:r>
    </w:p>
    <w:p w:rsidR="00BD1BC5" w:rsidRPr="008F162C" w:rsidRDefault="00BD1BC5" w:rsidP="00BD1BC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Protección sanitaria de los abastecimientos de agua.</w:t>
      </w:r>
    </w:p>
    <w:p w:rsidR="00BD1BC5" w:rsidRPr="008F162C" w:rsidRDefault="00BD1BC5" w:rsidP="00BD1BC5">
      <w:pPr>
        <w:pStyle w:val="Prrafodeli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Prohibir la utilización de residuales líquidos en el riesgo de los pastizales o de los huertos.</w:t>
      </w:r>
    </w:p>
    <w:p w:rsidR="00BD1BC5" w:rsidRPr="008F162C" w:rsidRDefault="00BD1BC5" w:rsidP="00BD1BC5">
      <w:pPr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Teniasis o Cisticercosis</w:t>
      </w:r>
      <w:r w:rsidRPr="008F162C">
        <w:rPr>
          <w:rFonts w:ascii="Arial" w:hAnsi="Arial" w:cs="Arial"/>
          <w:sz w:val="22"/>
          <w:szCs w:val="22"/>
        </w:rPr>
        <w:t xml:space="preserve">: Es una infección intestinal causada por </w:t>
      </w:r>
      <w:proofErr w:type="spellStart"/>
      <w:r w:rsidRPr="008F162C">
        <w:rPr>
          <w:rFonts w:ascii="Arial" w:hAnsi="Arial" w:cs="Arial"/>
          <w:sz w:val="22"/>
          <w:szCs w:val="22"/>
        </w:rPr>
        <w:t>Taenia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sz w:val="22"/>
          <w:szCs w:val="22"/>
        </w:rPr>
        <w:t>saginata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F162C">
        <w:rPr>
          <w:rFonts w:ascii="Arial" w:hAnsi="Arial" w:cs="Arial"/>
          <w:sz w:val="22"/>
          <w:szCs w:val="22"/>
        </w:rPr>
        <w:t>Taenia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sz w:val="22"/>
          <w:szCs w:val="22"/>
        </w:rPr>
        <w:t>solium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y la cisticercosis es una afección de los tejidos por las formas larvarias de estas. Las </w:t>
      </w:r>
      <w:proofErr w:type="spellStart"/>
      <w:r w:rsidRPr="008F162C">
        <w:rPr>
          <w:rFonts w:ascii="Arial" w:hAnsi="Arial" w:cs="Arial"/>
          <w:sz w:val="22"/>
          <w:szCs w:val="22"/>
        </w:rPr>
        <w:t>Taenias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pueden ser asintomáticas o causar pérdidas de peso y trastornos digestivos; pero la expulsión de los segmentos del gusano por el ano puede provocar trastornos nerviosos. La cisticercosis puede afectar el sistema nervioso central, según la localización de los quistes.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Reservorio: </w:t>
      </w:r>
      <w:r w:rsidRPr="008F162C">
        <w:rPr>
          <w:rFonts w:ascii="Arial" w:hAnsi="Arial" w:cs="Arial"/>
          <w:sz w:val="22"/>
          <w:szCs w:val="22"/>
        </w:rPr>
        <w:t>El hombre y animales (Ganado bovino y cerdos).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Modo de transmisión: </w:t>
      </w:r>
      <w:r w:rsidRPr="008F162C">
        <w:rPr>
          <w:rFonts w:ascii="Arial" w:hAnsi="Arial" w:cs="Arial"/>
          <w:sz w:val="22"/>
          <w:szCs w:val="22"/>
        </w:rPr>
        <w:t xml:space="preserve">Por la ingestión de carnes de cerdo mal cocida, ingestión de agua o alimentos contaminados con los huevos del parásito. 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de control: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Evitar la contaminación de la tierra, el agua o los alimentos con las heces del hombre.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Cocción completa de la carne de res y cerdo.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Prohibir la utilización de residuales líquidos en el riesgo de los pastizales o de los huertos.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La congelación de la carne durante más de 4 días destruye los cisticercos.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La inspección </w:t>
      </w:r>
      <w:proofErr w:type="spellStart"/>
      <w:r w:rsidRPr="008F162C">
        <w:rPr>
          <w:rFonts w:ascii="Arial" w:hAnsi="Arial" w:cs="Arial"/>
          <w:sz w:val="22"/>
          <w:szCs w:val="22"/>
        </w:rPr>
        <w:t>postmorten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en los mataderos debe evitar el consumo de carnes contaminadas.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Giardiasis: </w:t>
      </w:r>
      <w:r w:rsidRPr="008F162C">
        <w:rPr>
          <w:rFonts w:ascii="Arial" w:hAnsi="Arial" w:cs="Arial"/>
          <w:sz w:val="22"/>
          <w:szCs w:val="22"/>
        </w:rPr>
        <w:t xml:space="preserve">Enfermedad producida por la </w:t>
      </w:r>
      <w:proofErr w:type="spellStart"/>
      <w:r w:rsidRPr="008F162C">
        <w:rPr>
          <w:rFonts w:ascii="Arial" w:hAnsi="Arial" w:cs="Arial"/>
          <w:sz w:val="22"/>
          <w:szCs w:val="22"/>
        </w:rPr>
        <w:t>Giardia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162C">
        <w:rPr>
          <w:rFonts w:ascii="Arial" w:hAnsi="Arial" w:cs="Arial"/>
          <w:sz w:val="22"/>
          <w:szCs w:val="22"/>
        </w:rPr>
        <w:t>lamblia</w:t>
      </w:r>
      <w:proofErr w:type="spellEnd"/>
      <w:r w:rsidRPr="008F162C">
        <w:rPr>
          <w:rFonts w:ascii="Arial" w:hAnsi="Arial" w:cs="Arial"/>
          <w:sz w:val="22"/>
          <w:szCs w:val="22"/>
        </w:rPr>
        <w:t>. Aún cuando puede ser asintomática causa diarrea crónica, esteatorrea, cólicos abdominales, fatiga y pérdida de peso.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lastRenderedPageBreak/>
        <w:t xml:space="preserve">Reservorio: </w:t>
      </w:r>
      <w:r w:rsidRPr="008F162C">
        <w:rPr>
          <w:rFonts w:ascii="Arial" w:hAnsi="Arial" w:cs="Arial"/>
          <w:sz w:val="22"/>
          <w:szCs w:val="22"/>
        </w:rPr>
        <w:t>El hombre y animales secundariamente.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Modo de transmisión: </w:t>
      </w:r>
      <w:r w:rsidRPr="008F162C">
        <w:rPr>
          <w:rFonts w:ascii="Arial" w:hAnsi="Arial" w:cs="Arial"/>
          <w:sz w:val="22"/>
          <w:szCs w:val="22"/>
        </w:rPr>
        <w:t>Por la transferencia de los quistes de una persona a otra a través del mecanismo ano-mano-boca.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de control: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Educación sanitaria.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Ciguatera:</w:t>
      </w:r>
      <w:r w:rsidRPr="008F162C">
        <w:rPr>
          <w:rFonts w:ascii="Arial" w:hAnsi="Arial" w:cs="Arial"/>
          <w:sz w:val="22"/>
          <w:szCs w:val="22"/>
        </w:rPr>
        <w:t xml:space="preserve"> es una intoxicación de origen marino, la cual se asocia con el consumo de pescados de zonas tropicales y subtropicales, esto ocurre a través de la cadena alimentaria mediante la cual el pescado se hace toxico en las áreas coralinas. Las especies más mayor frecuencia son: picúa o barracuda, gallego, aguají, moren, etc. Esta enfermedad se caracteriza por presentar inicialmente cólicos y diarreas, seguido de síntomas neurológicos como prurito, escalofrío, parestesias de extremidades, sensación inversa de la temperatura, artralgia, mialgia, vértigo, perdida del equilibrio, convulsiones, parálisis muscular y muerte.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Periodo de incubación:</w:t>
      </w:r>
      <w:r w:rsidRPr="008F162C">
        <w:rPr>
          <w:rFonts w:ascii="Arial" w:hAnsi="Arial" w:cs="Arial"/>
          <w:sz w:val="22"/>
          <w:szCs w:val="22"/>
        </w:rPr>
        <w:t xml:space="preserve"> A las 6 horas de haber ingerido el pescado, aunque existe un rango de 30 minutos a 6 horas.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Modo de transmisión:</w:t>
      </w:r>
      <w:r w:rsidRPr="008F162C">
        <w:rPr>
          <w:rFonts w:ascii="Arial" w:hAnsi="Arial" w:cs="Arial"/>
          <w:sz w:val="22"/>
          <w:szCs w:val="22"/>
        </w:rPr>
        <w:t xml:space="preserve"> A través del consumo de pescados que contengan </w:t>
      </w:r>
      <w:proofErr w:type="spellStart"/>
      <w:r w:rsidRPr="008F162C">
        <w:rPr>
          <w:rFonts w:ascii="Arial" w:hAnsi="Arial" w:cs="Arial"/>
          <w:sz w:val="22"/>
          <w:szCs w:val="22"/>
        </w:rPr>
        <w:t>ciguatoxina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en sus vísceras y masas musculares.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de control: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Educación sanitaria.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No consumir pescado ciguato.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Escombroides: </w:t>
      </w:r>
      <w:r w:rsidRPr="008F162C">
        <w:rPr>
          <w:rFonts w:ascii="Arial" w:hAnsi="Arial" w:cs="Arial"/>
          <w:sz w:val="22"/>
          <w:szCs w:val="22"/>
        </w:rPr>
        <w:t xml:space="preserve">se caracteriza por </w:t>
      </w:r>
      <w:proofErr w:type="spellStart"/>
      <w:r w:rsidRPr="008F162C">
        <w:rPr>
          <w:rFonts w:ascii="Arial" w:hAnsi="Arial" w:cs="Arial"/>
          <w:sz w:val="22"/>
          <w:szCs w:val="22"/>
        </w:rPr>
        <w:t>rash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, cefalea, mareos, náuseas, vómitos, ardor en la garganta, </w:t>
      </w:r>
      <w:proofErr w:type="spellStart"/>
      <w:r w:rsidRPr="008F162C">
        <w:rPr>
          <w:rFonts w:ascii="Arial" w:hAnsi="Arial" w:cs="Arial"/>
          <w:sz w:val="22"/>
          <w:szCs w:val="22"/>
        </w:rPr>
        <w:t>episgastralgia</w:t>
      </w:r>
      <w:proofErr w:type="spellEnd"/>
      <w:r w:rsidRPr="008F162C">
        <w:rPr>
          <w:rFonts w:ascii="Arial" w:hAnsi="Arial" w:cs="Arial"/>
          <w:sz w:val="22"/>
          <w:szCs w:val="22"/>
        </w:rPr>
        <w:t>, enrojecimiento facial y prurito cutáneo.</w:t>
      </w:r>
      <w:r w:rsidRPr="008F162C">
        <w:rPr>
          <w:rFonts w:ascii="Arial" w:hAnsi="Arial" w:cs="Arial"/>
          <w:b/>
          <w:sz w:val="22"/>
          <w:szCs w:val="22"/>
        </w:rPr>
        <w:t xml:space="preserve">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Periodo de incubación:</w:t>
      </w:r>
      <w:r w:rsidRPr="008F162C">
        <w:rPr>
          <w:rFonts w:ascii="Arial" w:hAnsi="Arial" w:cs="Arial"/>
          <w:sz w:val="22"/>
          <w:szCs w:val="22"/>
        </w:rPr>
        <w:t xml:space="preserve"> Se presenta entre minutos y pocas horas.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Modo de transmisión:</w:t>
      </w:r>
      <w:r w:rsidRPr="008F162C">
        <w:rPr>
          <w:rFonts w:ascii="Arial" w:hAnsi="Arial" w:cs="Arial"/>
          <w:sz w:val="22"/>
          <w:szCs w:val="22"/>
        </w:rPr>
        <w:t xml:space="preserve"> A través del consumo de pescados que contengan elevadas de histidina en sus estructuras proteicas. 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de control: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Educación sanitaria.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Garantizar correcta conservación del pescado.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Evitar restos de vísceras y cúmulos de sangre que favorecen la </w:t>
      </w:r>
      <w:proofErr w:type="spellStart"/>
      <w:r w:rsidRPr="008F162C">
        <w:rPr>
          <w:rFonts w:ascii="Arial" w:hAnsi="Arial" w:cs="Arial"/>
          <w:sz w:val="22"/>
          <w:szCs w:val="22"/>
        </w:rPr>
        <w:t>descomposión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orgánica del pescado.</w:t>
      </w:r>
    </w:p>
    <w:p w:rsidR="00BD1BC5" w:rsidRPr="008F162C" w:rsidRDefault="00BD1BC5" w:rsidP="00BD1BC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Consumir el pescado inmediatamente después de la cocción.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E70027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2.2</w:t>
      </w:r>
      <w:r w:rsidR="00B42152" w:rsidRPr="008F162C">
        <w:rPr>
          <w:rFonts w:ascii="Arial" w:hAnsi="Arial" w:cs="Arial"/>
          <w:b/>
          <w:sz w:val="22"/>
          <w:szCs w:val="22"/>
        </w:rPr>
        <w:t>.5</w:t>
      </w:r>
      <w:r w:rsidRPr="008F162C">
        <w:rPr>
          <w:rFonts w:ascii="Arial" w:hAnsi="Arial" w:cs="Arial"/>
          <w:b/>
          <w:sz w:val="22"/>
          <w:szCs w:val="22"/>
        </w:rPr>
        <w:t xml:space="preserve"> </w:t>
      </w:r>
      <w:r w:rsidR="00BD1BC5" w:rsidRPr="008F162C">
        <w:rPr>
          <w:rFonts w:ascii="Arial" w:hAnsi="Arial" w:cs="Arial"/>
          <w:b/>
          <w:sz w:val="22"/>
          <w:szCs w:val="22"/>
        </w:rPr>
        <w:t>Enfermedades por Metales pesados: Cadmio, Plomo, Estaño, Mercurio, Cobre.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Mercurio (Hg): </w:t>
      </w:r>
      <w:r w:rsidRPr="008F162C">
        <w:rPr>
          <w:rFonts w:ascii="Arial" w:hAnsi="Arial" w:cs="Arial"/>
          <w:sz w:val="22"/>
          <w:szCs w:val="22"/>
        </w:rPr>
        <w:t>Es un elemento metálico que existe en gran variedad de estados.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Fuente de contaminación: </w:t>
      </w:r>
      <w:r w:rsidRPr="008F162C">
        <w:rPr>
          <w:rFonts w:ascii="Arial" w:hAnsi="Arial" w:cs="Arial"/>
          <w:sz w:val="22"/>
          <w:szCs w:val="22"/>
        </w:rPr>
        <w:t xml:space="preserve">Cuando es usado en el tratamiento de semillas para proteger el grano del ataque de hongos. En las carnes, huevos y productos lácteos se pueden hallar en concentraciones de mercurio total que se deben quizás a residuos presentes de compuestos </w:t>
      </w:r>
      <w:proofErr w:type="spellStart"/>
      <w:r w:rsidRPr="008F162C">
        <w:rPr>
          <w:rFonts w:ascii="Arial" w:hAnsi="Arial" w:cs="Arial"/>
          <w:sz w:val="22"/>
          <w:szCs w:val="22"/>
        </w:rPr>
        <w:t>organomercuriales</w:t>
      </w:r>
      <w:proofErr w:type="spellEnd"/>
      <w:r w:rsidRPr="008F162C">
        <w:rPr>
          <w:rFonts w:ascii="Arial" w:hAnsi="Arial" w:cs="Arial"/>
          <w:sz w:val="22"/>
          <w:szCs w:val="22"/>
        </w:rPr>
        <w:t xml:space="preserve"> en piensos que contuviesen harina de pescado o cereales. Los productos pesqueros son los principales contribuidores de este producto.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sz w:val="22"/>
          <w:szCs w:val="22"/>
        </w:rPr>
        <w:t>Toxicocinética</w:t>
      </w:r>
      <w:proofErr w:type="spellEnd"/>
      <w:r w:rsidRPr="008F162C">
        <w:rPr>
          <w:rFonts w:ascii="Arial" w:hAnsi="Arial" w:cs="Arial"/>
          <w:b/>
          <w:sz w:val="22"/>
          <w:szCs w:val="22"/>
        </w:rPr>
        <w:t>:</w:t>
      </w:r>
      <w:r w:rsidRPr="008F162C">
        <w:rPr>
          <w:rFonts w:ascii="Arial" w:hAnsi="Arial" w:cs="Arial"/>
          <w:sz w:val="22"/>
          <w:szCs w:val="22"/>
        </w:rPr>
        <w:t xml:space="preserve"> Los compuestos mercuriales pueden ser absorbidos por inhalaciones, a través de la piel y por ingestión.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Efectos biológicos:</w:t>
      </w:r>
      <w:r w:rsidRPr="008F162C">
        <w:rPr>
          <w:rFonts w:ascii="Arial" w:hAnsi="Arial" w:cs="Arial"/>
          <w:sz w:val="22"/>
          <w:szCs w:val="22"/>
        </w:rPr>
        <w:t xml:space="preserve"> El envenenamiento con Hg presenta una variedad de síntomas clínicos, dependiendo de la dosis y duración de la exposición, de </w:t>
      </w:r>
      <w:r w:rsidR="00B42152" w:rsidRPr="008F162C">
        <w:rPr>
          <w:rFonts w:ascii="Arial" w:hAnsi="Arial" w:cs="Arial"/>
          <w:sz w:val="22"/>
          <w:szCs w:val="22"/>
        </w:rPr>
        <w:t>la estructura</w:t>
      </w:r>
      <w:r w:rsidRPr="008F162C">
        <w:rPr>
          <w:rFonts w:ascii="Arial" w:hAnsi="Arial" w:cs="Arial"/>
          <w:sz w:val="22"/>
          <w:szCs w:val="22"/>
        </w:rPr>
        <w:t xml:space="preserve"> química y de la sensibilidad individual. El daño causado puede ser reversible o irreversible en dependencia de la dosis y del periodo de exposición. La acumulación de produce de forma gradual en el sistema nervioso provocando dificultades en el sistema motor, disminución y afectaciones auditivas y del paladar, del campo visual, disturbios </w:t>
      </w:r>
      <w:r w:rsidRPr="008F162C">
        <w:rPr>
          <w:rFonts w:ascii="Arial" w:hAnsi="Arial" w:cs="Arial"/>
          <w:sz w:val="22"/>
          <w:szCs w:val="22"/>
        </w:rPr>
        <w:lastRenderedPageBreak/>
        <w:t xml:space="preserve">sensoriales, ataxia, temblor, espasmos musculares periódicos y contracciones espasmódicas en la manos y pies. 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Cadmio (Cd): </w:t>
      </w:r>
      <w:r w:rsidRPr="008F162C">
        <w:rPr>
          <w:rFonts w:ascii="Arial" w:hAnsi="Arial" w:cs="Arial"/>
          <w:sz w:val="22"/>
          <w:szCs w:val="22"/>
        </w:rPr>
        <w:t>Es un elemento metálico raro y se encuentra en el subgrupo II-B de la tabla periódica entre el Cinc y el Mercurio. Es de color blanco argentino, de ligero tono azulado y es mucho más maleable que el Cinc.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Fuente de contaminación: </w:t>
      </w:r>
      <w:r w:rsidRPr="008F162C">
        <w:rPr>
          <w:rFonts w:ascii="Arial" w:hAnsi="Arial" w:cs="Arial"/>
          <w:sz w:val="22"/>
          <w:szCs w:val="22"/>
        </w:rPr>
        <w:t>Emisión Cd a la atmosfera desde donde este contamina el agua de lluvia, se deposita en los suelos y las aguas naturales, de esta manera incrementa la entrada a la cadena alimentaria del hombre.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F162C">
        <w:rPr>
          <w:rFonts w:ascii="Arial" w:hAnsi="Arial" w:cs="Arial"/>
          <w:b/>
          <w:sz w:val="22"/>
          <w:szCs w:val="22"/>
        </w:rPr>
        <w:t>Toxicocinética</w:t>
      </w:r>
      <w:proofErr w:type="spellEnd"/>
      <w:r w:rsidRPr="008F162C">
        <w:rPr>
          <w:rFonts w:ascii="Arial" w:hAnsi="Arial" w:cs="Arial"/>
          <w:b/>
          <w:sz w:val="22"/>
          <w:szCs w:val="22"/>
        </w:rPr>
        <w:t>: Las principales características del metabolismo de Cd son:</w:t>
      </w:r>
    </w:p>
    <w:p w:rsidR="00BD1BC5" w:rsidRPr="008F162C" w:rsidRDefault="00BD1BC5" w:rsidP="00BD1BC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La ausencia de mecanismos de control homeostático.</w:t>
      </w:r>
    </w:p>
    <w:p w:rsidR="00BD1BC5" w:rsidRPr="008F162C" w:rsidRDefault="00BD1BC5" w:rsidP="00BD1BC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Su retención en el cuerpo con larga vida media biológica de tal manera, que la acumulación activa de este metal prevalece casi toda la vida.</w:t>
      </w:r>
    </w:p>
    <w:p w:rsidR="00BD1BC5" w:rsidRPr="008F162C" w:rsidRDefault="00BD1BC5" w:rsidP="00BD1BC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Su acumulación en los tejidos blandos (riñones e hígado).</w:t>
      </w:r>
    </w:p>
    <w:p w:rsidR="00BD1BC5" w:rsidRPr="008F162C" w:rsidRDefault="00BD1BC5" w:rsidP="00BD1BC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Su interacción con otros nutrientes esenciales es adsorbido.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Efectos biológicos: </w:t>
      </w:r>
      <w:r w:rsidRPr="008F162C">
        <w:rPr>
          <w:rFonts w:ascii="Arial" w:hAnsi="Arial" w:cs="Arial"/>
          <w:sz w:val="22"/>
          <w:szCs w:val="22"/>
        </w:rPr>
        <w:t xml:space="preserve">Puede causar problemas gastrointestinales agudos. Los principales síntomas son: nauseas, vómitos, diarreas, calambres abdominales, jaqueca y salivación. En intoxicaciones graves son seguidos por shock y la muerte ocurre por paros cardiorrespiratorios y renales agudas dentro de las 24 horas. El </w:t>
      </w:r>
      <w:r w:rsidR="008F162C" w:rsidRPr="008F162C">
        <w:rPr>
          <w:rFonts w:ascii="Arial" w:hAnsi="Arial" w:cs="Arial"/>
          <w:sz w:val="22"/>
          <w:szCs w:val="22"/>
        </w:rPr>
        <w:t>riñón es</w:t>
      </w:r>
      <w:r w:rsidRPr="008F162C">
        <w:rPr>
          <w:rFonts w:ascii="Arial" w:hAnsi="Arial" w:cs="Arial"/>
          <w:sz w:val="22"/>
          <w:szCs w:val="22"/>
        </w:rPr>
        <w:t xml:space="preserve"> el órgano que muestra el primer efecto adverso, las lesiones en los huesos es una manifestación de la exposición crónica al Cd.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Plomo (Pb): </w:t>
      </w:r>
      <w:r w:rsidRPr="008F162C">
        <w:rPr>
          <w:rFonts w:ascii="Arial" w:hAnsi="Arial" w:cs="Arial"/>
          <w:sz w:val="22"/>
          <w:szCs w:val="22"/>
        </w:rPr>
        <w:t xml:space="preserve">Pertenece al subgrupo IV-B de la tabla periódica. 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Efectos biológicos: </w:t>
      </w:r>
      <w:r w:rsidRPr="008F162C">
        <w:rPr>
          <w:rFonts w:ascii="Arial" w:hAnsi="Arial" w:cs="Arial"/>
          <w:sz w:val="22"/>
          <w:szCs w:val="22"/>
        </w:rPr>
        <w:t>Sus efectos nocivos son fundamentalmente en las funciones renales y hepáticas, además de los sistemas hematopoyético, la cual se caracteriza por concentraciones anormales en sangre y orina. Afectaciones en los sistemas renales, hepáticos y nerviosos.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Fuente de contaminación: </w:t>
      </w:r>
      <w:r w:rsidRPr="008F162C">
        <w:rPr>
          <w:rFonts w:ascii="Arial" w:hAnsi="Arial" w:cs="Arial"/>
          <w:sz w:val="22"/>
          <w:szCs w:val="22"/>
        </w:rPr>
        <w:t>Es el agua y su sistema de distribución, monedas, productos de cerámicas vidriadas y objetos de artes.</w:t>
      </w:r>
    </w:p>
    <w:p w:rsidR="00BD1BC5" w:rsidRPr="008F162C" w:rsidRDefault="00BD1BC5" w:rsidP="00BD1BC5">
      <w:pPr>
        <w:jc w:val="both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Medidas de control:</w:t>
      </w:r>
    </w:p>
    <w:p w:rsidR="00BD1BC5" w:rsidRPr="008F162C" w:rsidRDefault="00BD1BC5" w:rsidP="00BD1BC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Abstenerse de almacenar o servir alimentos en platos y tazas de cerámicas en cuya manufactura se haya añadido plomo.</w:t>
      </w:r>
    </w:p>
    <w:p w:rsidR="00BD1BC5" w:rsidRPr="008F162C" w:rsidRDefault="00BD1BC5" w:rsidP="00BD1BC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No comprar alimentos importados empacados en latas soldadas con plomo.</w:t>
      </w:r>
    </w:p>
    <w:p w:rsidR="00BD1BC5" w:rsidRPr="008F162C" w:rsidRDefault="00BD1BC5" w:rsidP="00BD1BC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No usar las piezas de cerámicas como utensilios para guardar alimentos.</w:t>
      </w:r>
    </w:p>
    <w:p w:rsidR="00BD1BC5" w:rsidRPr="008F162C" w:rsidRDefault="00BD1BC5" w:rsidP="00BD1BC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No consumir bebidas en </w:t>
      </w:r>
      <w:r w:rsidR="00B42152" w:rsidRPr="008F162C">
        <w:rPr>
          <w:rFonts w:ascii="Arial" w:hAnsi="Arial" w:cs="Arial"/>
          <w:sz w:val="22"/>
          <w:szCs w:val="22"/>
        </w:rPr>
        <w:t>copas de</w:t>
      </w:r>
      <w:r w:rsidRPr="008F162C">
        <w:rPr>
          <w:rFonts w:ascii="Arial" w:hAnsi="Arial" w:cs="Arial"/>
          <w:sz w:val="22"/>
          <w:szCs w:val="22"/>
        </w:rPr>
        <w:t xml:space="preserve"> cristal emplomado, ni almacenar estas en objetos de cristales emplomados.</w:t>
      </w:r>
    </w:p>
    <w:p w:rsidR="00BD1BC5" w:rsidRPr="008F162C" w:rsidRDefault="00BD1BC5" w:rsidP="00BD1BC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No permitir que persona se lleven a la boca escamas de pintura desprendida de las paredes.</w:t>
      </w:r>
    </w:p>
    <w:p w:rsidR="00BD1BC5" w:rsidRPr="008F162C" w:rsidRDefault="00BD1BC5" w:rsidP="00BD1BC5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 </w:t>
      </w:r>
    </w:p>
    <w:p w:rsidR="00370CBB" w:rsidRPr="008F162C" w:rsidRDefault="00370CBB" w:rsidP="00370CB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>Estudio Independiente.</w:t>
      </w:r>
    </w:p>
    <w:p w:rsidR="00370CBB" w:rsidRPr="008F162C" w:rsidRDefault="00370CBB" w:rsidP="00370CB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B546A" w:rsidRPr="008F162C" w:rsidRDefault="00B15A2E" w:rsidP="006B546A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1-</w:t>
      </w:r>
      <w:r w:rsidR="006B546A" w:rsidRPr="008F162C">
        <w:rPr>
          <w:rFonts w:ascii="Arial" w:hAnsi="Arial" w:cs="Arial"/>
          <w:sz w:val="22"/>
          <w:szCs w:val="22"/>
        </w:rPr>
        <w:t xml:space="preserve">¿Cuáles son las características fundamentales de las intoxicaciones alimentarias que las diferencias de otras enfermedades ETA? </w:t>
      </w:r>
    </w:p>
    <w:p w:rsidR="00B15A2E" w:rsidRPr="008F162C" w:rsidRDefault="00B15A2E" w:rsidP="006B546A">
      <w:pPr>
        <w:jc w:val="both"/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2-Resuma según conocimientos adquiridos en clases por qué </w:t>
      </w:r>
      <w:r w:rsidR="00B42152" w:rsidRPr="008F162C">
        <w:rPr>
          <w:rFonts w:ascii="Arial" w:hAnsi="Arial" w:cs="Arial"/>
          <w:sz w:val="22"/>
          <w:szCs w:val="22"/>
        </w:rPr>
        <w:t>el inspector</w:t>
      </w:r>
      <w:r w:rsidRPr="008F162C">
        <w:rPr>
          <w:rFonts w:ascii="Arial" w:hAnsi="Arial" w:cs="Arial"/>
          <w:sz w:val="22"/>
          <w:szCs w:val="22"/>
        </w:rPr>
        <w:t xml:space="preserve"> de la ISE debe controlar la venta y expendio de alimentos.</w:t>
      </w:r>
    </w:p>
    <w:p w:rsidR="00370CBB" w:rsidRPr="008F162C" w:rsidRDefault="00370CBB" w:rsidP="00370CB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0CBB" w:rsidRPr="008F162C" w:rsidRDefault="00370CBB" w:rsidP="00370CB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0CBB" w:rsidRPr="008F162C" w:rsidRDefault="00370CBB" w:rsidP="00370CBB">
      <w:pPr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BIBLIOGRAFÍA:   </w:t>
      </w:r>
    </w:p>
    <w:p w:rsidR="00370CBB" w:rsidRPr="008F162C" w:rsidRDefault="00370CBB" w:rsidP="00370CBB">
      <w:pPr>
        <w:rPr>
          <w:rFonts w:ascii="Arial" w:hAnsi="Arial" w:cs="Arial"/>
          <w:b/>
          <w:sz w:val="22"/>
          <w:szCs w:val="22"/>
        </w:rPr>
      </w:pPr>
      <w:r w:rsidRPr="008F162C">
        <w:rPr>
          <w:rFonts w:ascii="Arial" w:hAnsi="Arial" w:cs="Arial"/>
          <w:b/>
          <w:sz w:val="22"/>
          <w:szCs w:val="22"/>
        </w:rPr>
        <w:t xml:space="preserve">BÁSICAS. 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Del Puerto Quintana Conrado. Higiene del Medio Tomo II ed. Ciencias Médicas. 1984. La Habana.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 xml:space="preserve">Del Puerto Quintana Co9nrado. Higiene. Ed. Ciencias Médicas. La Habana. 1989. 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Robaina Reyes Silvio L. Folleto Salud Ambiental III Temas de Higiene de los Alimentos. Ed. Ciencias Médicas. La Habana. 2012.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lastRenderedPageBreak/>
        <w:t>Águila Pedro Pablo. ABC de la Higiene. Ed. Ciencias Médicas 2006.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COMPLEMENTARIAS.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  <w:r w:rsidRPr="008F162C">
        <w:rPr>
          <w:rFonts w:ascii="Arial" w:hAnsi="Arial" w:cs="Arial"/>
          <w:sz w:val="22"/>
          <w:szCs w:val="22"/>
        </w:rPr>
        <w:t>Mendoza Rodríguez Humberto Dr. C. Manual de Técnicas y Procedimientos de Higiene y Epidemiología. Ed. Ciencias Médicas. La Habana. 2012.</w:t>
      </w:r>
    </w:p>
    <w:p w:rsidR="00370CBB" w:rsidRPr="008F162C" w:rsidRDefault="00370CBB" w:rsidP="00370CBB">
      <w:pPr>
        <w:rPr>
          <w:rFonts w:ascii="Arial" w:hAnsi="Arial" w:cs="Arial"/>
          <w:sz w:val="22"/>
          <w:szCs w:val="22"/>
        </w:rPr>
      </w:pPr>
    </w:p>
    <w:p w:rsidR="00BD1BC5" w:rsidRDefault="00BD1BC5"/>
    <w:sectPr w:rsidR="00BD1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clip_image001"/>
      </v:shape>
    </w:pict>
  </w:numPicBullet>
  <w:abstractNum w:abstractNumId="0">
    <w:nsid w:val="0D5117FD"/>
    <w:multiLevelType w:val="multilevel"/>
    <w:tmpl w:val="E1369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5B0E"/>
    <w:multiLevelType w:val="hybridMultilevel"/>
    <w:tmpl w:val="DDB4F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1531"/>
    <w:multiLevelType w:val="hybridMultilevel"/>
    <w:tmpl w:val="3ACE4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3F8E"/>
    <w:multiLevelType w:val="hybridMultilevel"/>
    <w:tmpl w:val="E8A0FB92"/>
    <w:lvl w:ilvl="0" w:tplc="A546FDE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306B7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19442A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8A6AD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80AF8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5810A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C83B4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FF2A68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B884D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C95548"/>
    <w:multiLevelType w:val="hybridMultilevel"/>
    <w:tmpl w:val="C226C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C28FB"/>
    <w:multiLevelType w:val="hybridMultilevel"/>
    <w:tmpl w:val="9C76D9A4"/>
    <w:lvl w:ilvl="0" w:tplc="1A546E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24C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2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6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8D0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88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80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AE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C44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F7DA6"/>
    <w:multiLevelType w:val="hybridMultilevel"/>
    <w:tmpl w:val="1416F5E2"/>
    <w:lvl w:ilvl="0" w:tplc="7F78A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C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4A8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096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B63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36A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5AD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9C2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144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05B5D"/>
    <w:multiLevelType w:val="hybridMultilevel"/>
    <w:tmpl w:val="73DE6CE0"/>
    <w:lvl w:ilvl="0" w:tplc="3E1AC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0D6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0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2FD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62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07C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21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EE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82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F39FD"/>
    <w:multiLevelType w:val="hybridMultilevel"/>
    <w:tmpl w:val="BDACECAE"/>
    <w:lvl w:ilvl="0" w:tplc="8B001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099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ECD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ECE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E4B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4F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609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8D6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46D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1E1C40"/>
    <w:multiLevelType w:val="hybridMultilevel"/>
    <w:tmpl w:val="FDFAF402"/>
    <w:lvl w:ilvl="0" w:tplc="72F8E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A61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E1E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3D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EF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E1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A76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65B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A04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8B29BC"/>
    <w:multiLevelType w:val="hybridMultilevel"/>
    <w:tmpl w:val="A81A7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1594D"/>
    <w:multiLevelType w:val="hybridMultilevel"/>
    <w:tmpl w:val="3A58C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F0372"/>
    <w:multiLevelType w:val="hybridMultilevel"/>
    <w:tmpl w:val="BE58AD8C"/>
    <w:lvl w:ilvl="0" w:tplc="7924E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EA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842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6BC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A52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604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64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E0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A6F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638D7"/>
    <w:multiLevelType w:val="hybridMultilevel"/>
    <w:tmpl w:val="A5B83744"/>
    <w:lvl w:ilvl="0" w:tplc="9D6E1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F65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84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6E9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5440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9ED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E4A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E1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642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4055A"/>
    <w:multiLevelType w:val="hybridMultilevel"/>
    <w:tmpl w:val="D6948C08"/>
    <w:lvl w:ilvl="0" w:tplc="9984F5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82B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0BC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6D3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4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C87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6D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A6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0C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E43EDF"/>
    <w:multiLevelType w:val="hybridMultilevel"/>
    <w:tmpl w:val="51DCD5FC"/>
    <w:lvl w:ilvl="0" w:tplc="DB9A5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6D4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2B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C44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C25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8D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A89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AB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FC7F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902091A"/>
    <w:multiLevelType w:val="hybridMultilevel"/>
    <w:tmpl w:val="9BA81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6B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44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A6A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0AF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810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83B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2A6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8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15"/>
  </w:num>
  <w:num w:numId="10">
    <w:abstractNumId w:val="9"/>
  </w:num>
  <w:num w:numId="11">
    <w:abstractNumId w:val="8"/>
  </w:num>
  <w:num w:numId="12">
    <w:abstractNumId w:val="16"/>
  </w:num>
  <w:num w:numId="13">
    <w:abstractNumId w:val="11"/>
  </w:num>
  <w:num w:numId="14">
    <w:abstractNumId w:val="4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C0"/>
    <w:rsid w:val="00027324"/>
    <w:rsid w:val="003206D3"/>
    <w:rsid w:val="00370CBB"/>
    <w:rsid w:val="00376EAB"/>
    <w:rsid w:val="005926C0"/>
    <w:rsid w:val="006B546A"/>
    <w:rsid w:val="008F162C"/>
    <w:rsid w:val="00B15A2E"/>
    <w:rsid w:val="00B42152"/>
    <w:rsid w:val="00BD1BC5"/>
    <w:rsid w:val="00E70027"/>
    <w:rsid w:val="00F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B0D3D2-80BA-4F35-A5F6-C3CA4E4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BC5"/>
    <w:pPr>
      <w:ind w:left="720"/>
      <w:contextualSpacing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2024-02-28T07:02:00Z</dcterms:created>
  <dcterms:modified xsi:type="dcterms:W3CDTF">2024-02-29T09:22:00Z</dcterms:modified>
</cp:coreProperties>
</file>