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15="http://schemas.microsoft.com/office/word/2012/wordml" xmlns:wpi="http://schemas.microsoft.com/office/word/2010/wordprocessingInk" xmlns:w16cid="http://schemas.microsoft.com/office/word/2016/wordml/cid" xmlns:am3d="http://schemas.microsoft.com/office/drawing/2017/model3d" xmlns:w16se="http://schemas.microsoft.com/office/word/2015/wordml/symex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p14 w15">
  <w:body>
    <w:p>
      <w:pPr>
        <w:spacing w:lineRule="auto" w:line="259"/>
        <w:rPr>
          <w:shd w:val="clear"/>
        </w:rPr>
      </w:pPr>
      <w:r>
        <w:rPr>
          <w:shd w:val="clear"/>
        </w:rPr>
        <w:t xml:space="preserve">Conferencia: “TIC y Lesiones del Cartílago: Innovación Tecnológica en Ortopedia”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Los autores 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Dr.C Anelys García Salgado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Dr Nelson Alvarez Capote 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Dr.C Anadely Gámez Pérez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Dra. Mirielle de la Caridad Piloto Bear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El cartílago hialino, como sabemos, posee una capacidad de regeneración </w:t>
      </w:r>
      <w:r>
        <w:rPr>
          <w:shd w:val="clear"/>
        </w:rPr>
        <w:t xml:space="preserve">extremadamente limitada debido a su naturaleza avascular y aneural. Esta característica lo </w:t>
      </w:r>
      <w:r>
        <w:rPr>
          <w:shd w:val="clear"/>
        </w:rPr>
        <w:t xml:space="preserve">convierte en un tejido vulnerable cuyas lesiones, si no se tratan adecuadamente, progresan </w:t>
      </w:r>
      <w:r>
        <w:rPr>
          <w:shd w:val="clear"/>
        </w:rPr>
        <w:t xml:space="preserve">hacia la osteoartritis. Hoy exploraremos cómo las Tecnologías de la Información y la </w:t>
      </w:r>
      <w:r>
        <w:rPr>
          <w:shd w:val="clear"/>
        </w:rPr>
        <w:t xml:space="preserve">Comunicación (TIC) están transformando radicalmente el diagnóstico, tratamiento y </w:t>
      </w:r>
      <w:r>
        <w:rPr>
          <w:shd w:val="clear"/>
        </w:rPr>
        <w:t xml:space="preserve">seguimiento de estas lesiones.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1. Contexto: El Problema del Cartílago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Antes de adentrarnos en las TIC, recordemos brevemente: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· Prevalencia: Las lesiones condrales afectan aproximadamente al 60% de los pacientes </w:t>
      </w:r>
      <w:r>
        <w:rPr>
          <w:shd w:val="clear"/>
        </w:rPr>
        <w:t xml:space="preserve">sometidos a artroscopia de rodilla.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· Limitación biológica: El cartílago carece de vasos sanguíneos, nervios y células </w:t>
      </w:r>
      <w:r>
        <w:rPr>
          <w:shd w:val="clear"/>
        </w:rPr>
        <w:t xml:space="preserve">progenitoras suficientes para una reparación espontánea efectiva.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· Impacto funcional: Dolor, rigidez, limitación del movimiento y, eventualmente, artrosis </w:t>
      </w:r>
      <w:r>
        <w:rPr>
          <w:shd w:val="clear"/>
        </w:rPr>
        <w:t>temprana.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· Costo socioeconómico: Millones en gastos sanitarios y pérdida de productividad laboral.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2. TIC en el Diagnóstico de Lesiones Condrales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2.1 Inteligencia Artificial en Imagenología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La IA aplicada a resonancia magnética (RM) permite: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· Detección automatizada de lesiones condrales con sensibilidad superior al 90%.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· Clasificación precisa según la escala ICRS (International Cartilage Repair Society).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· Segmentación 3D del cartílago para medir volumen y grosor con precisión micrométrica.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Ejemplo práctico: Algoritmos de deep learning como las redes neuronales convolucionales </w:t>
      </w:r>
      <w:r>
        <w:rPr>
          <w:shd w:val="clear"/>
        </w:rPr>
        <w:t xml:space="preserve">(CNN) analizan miles de imágenes de RM y detectan cambios degenerativos tempranos </w:t>
      </w:r>
      <w:r>
        <w:rPr>
          <w:shd w:val="clear"/>
        </w:rPr>
        <w:t xml:space="preserve">que el ojo humano podría pasar por alto.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2.2 Telemedicina y Consulta Remota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· Plataformas de teleradiología: Permiten que especialistas en cartílago evalúen imágenes </w:t>
      </w:r>
      <w:r>
        <w:rPr>
          <w:shd w:val="clear"/>
        </w:rPr>
        <w:t xml:space="preserve">desde cualquier ubicación geográfica.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· Segunda opinión remota: Pacientes en zonas rurales acceden a expertos en centros de </w:t>
      </w:r>
      <w:r>
        <w:rPr>
          <w:shd w:val="clear"/>
        </w:rPr>
        <w:t>referencia.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· Sistemas de triaje digital: Clasifican la urgencia de la lesión antes de la consulta presencial.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2.3 Wearables y Sensores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· Dispositivos portátiles que miden: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  · Rango de movimiento articular.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  · Carga y distribución de peso.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  · Patrones de marcha alterados por dolor condral.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· Datos objetivos que complementan la exploración física tradicional.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3. TIC en el Tratamiento y Planificación Quirúrgica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3.1 Planificación Preoperatoria con Realidad Virtual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· Reconstrucción 3D de la lesión a partir de RM o TAC.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· Simulación quirúrgica en entorno virtual: el cirujano “practica” el procedimiento antes de </w:t>
      </w:r>
      <w:r>
        <w:rPr>
          <w:shd w:val="clear"/>
        </w:rPr>
        <w:t xml:space="preserve">entrar al quirófano.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· Selección personalizada del implante o técnica de reparación (microfractura, </w:t>
      </w:r>
      <w:r>
        <w:rPr>
          <w:shd w:val="clear"/>
        </w:rPr>
        <w:t xml:space="preserve">mosaicoplastia, implante de condrocitos).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3.2 Navegación Quirúrgica Asistida por Computadora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· Sistemas de navegación intraoperatoria que guían al cirujano en tiempo real.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· Precisión milimétrica en la colocación de injertos de cartílago.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· Realidad aumentada: superposición de imágenes 3D sobre el campo quirúrgico.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3.3 Impresión 3D y Bioimpresión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· Andamios personalizados (scaffolds) impresos en 3D con la forma exacta del defecto </w:t>
      </w:r>
      <w:r>
        <w:rPr>
          <w:shd w:val="clear"/>
        </w:rPr>
        <w:t>condral.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· Bioimpresión de cartílago: células madre del paciente + biomateriales + factores de </w:t>
      </w:r>
      <w:r>
        <w:rPr>
          <w:shd w:val="clear"/>
        </w:rPr>
        <w:t>crecimiento.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· Prótesis biológicas a medida que se integran con el cartílago nativo.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3.4 Tele-rehabilitación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· Plataformas digitales con ejercicios guiados por video.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· Seguimiento remoto del progreso mediante sensores de movimiento.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· Ajuste dinámico de protocolos según datos objetivos de recuperación.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4. TIC en el Seguimiento y Monitorización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4.1 Aplic</w:t>
      </w:r>
      <w:r>
        <w:rPr>
          <w:shd w:val="clear"/>
        </w:rPr>
        <w:t>a</w:t>
      </w:r>
      <w:r>
        <w:rPr>
          <w:shd w:val="clear"/>
        </w:rPr>
        <w:t xml:space="preserve">ciones Móviles para Pacientes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· Registro de síntomas: dolor, inflamación, rigidez.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· Recordatorios de ejercicios y adherencia al tratamiento.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· Cuestionarios validados (IKDC, KOOS, Lysholm) administrados digitalmente.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· Comunicación directa con el equipo médico.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4.2 Análisis de Datos y Big Data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· Bases de datos nacionales e internacionales de lesiones condrales.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· Análisis predictivo: qué pacientes tienen mayor riesgo de progresión a artrosis.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· Identificación de patrones de respuesta al tratamiento.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· Medicina personalizada: algoritmos que recomiendan la mejor opción terapéutica según </w:t>
      </w:r>
      <w:r>
        <w:rPr>
          <w:shd w:val="clear"/>
        </w:rPr>
        <w:t xml:space="preserve">el perfil del paciente.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4.3 Telemetría de Implantes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· Sensores integrados en implantes de cartílago que transmiten datos sobre: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  · Carga soportada.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  · Temperatura local (inflamación).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  · Movilidad del tejido reparado.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· Alertas tempranas de complicaciones antes de que sean clínicamente evidentes.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5. Casos de Éxito y Evidencia Científica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5.1 Estudios Relevantes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· Estudio multicéntrico (2022): IA detectó lesiones condrales en RM con precisión del 94%, </w:t>
      </w:r>
      <w:r>
        <w:rPr>
          <w:shd w:val="clear"/>
        </w:rPr>
        <w:t xml:space="preserve">superando a radiólogos generales.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· Ensayo clínico (2023): tele-rehabilitación post-microfractura mostró adherencia 40% </w:t>
      </w:r>
      <w:r>
        <w:rPr>
          <w:shd w:val="clear"/>
        </w:rPr>
        <w:t xml:space="preserve">superior vs. rehabilitación tradicional.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· Serie de casos (2024): navegación quirúrgica mejoró la precisión de colocación de injertos </w:t>
      </w:r>
      <w:r>
        <w:rPr>
          <w:shd w:val="clear"/>
        </w:rPr>
        <w:t xml:space="preserve">en un 35%.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5.2 Experiencias Clínicas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· Hospitales de referencia en Europa y Norteamérica ya utilizan planificación virtual y </w:t>
      </w:r>
      <w:r>
        <w:rPr>
          <w:shd w:val="clear"/>
        </w:rPr>
        <w:t xml:space="preserve">bioimpresión para casos complejos.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· Plataformas de telemedicina han reducido tiempos de espera para evaluación </w:t>
      </w:r>
      <w:r>
        <w:rPr>
          <w:shd w:val="clear"/>
        </w:rPr>
        <w:t xml:space="preserve">especializada de 3 meses a 2 semanas.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6. Desafíos y Limitaciones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No todo es perfecto. Debemos ser críticos: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Desafío Descripción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Costo Tecnologías avanzadas requieren inversión significativa.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Acceso desigual Brecha digital entre zonas urbanas y rurales.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Validación No todos los algoritmos están validados clínicamente.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Privacidad Manejo de datos sensibles de salud.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Formación Cirujanos y personal sanitario necesitan capacitación continua.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Regulación Marcos legales que varían entre países.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Interoperabilidad Sistemas que no se comunican entre sí.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7. Futuro: Hacia Dónde Vamos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7.1 Tendencias Emergentes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· Gemelos digitales: réplica virtual del paciente para simular tratamientos.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· IA generativa: creación de imágenes sintéticas para entrenamiento quirúrgico.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· Blockchain: historiales médicos seguros y descentralizados.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· 5G y 6G: cirugía remota en tiempo real sin latencia.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· Nanotecnología + TIC: sensores nanométricos que monitorizan la regeneración celular.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7.2 Visión a 10 Años</w:t>
      </w:r>
    </w:p>
    <w:p>
      <w:pPr>
        <w:spacing w:lineRule="auto" w:line="259"/>
        <w:rPr>
          <w:shd w:val="clear"/>
        </w:rPr>
      </w:pP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Imaginemos un futuro donde: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1. Un paciente se lesiona la rodilla.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2. Un wearable detecta el cambio en la marcha.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3. La IA analiza imágenes y sugiere diagnóstico.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4. Se planifica cirugía virtual personalizada.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5. Se bioimprime un injerto a medida.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6. La tele-rehabilitación guía la recuperación.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7. Sensores monitorizan la integración del tejido.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8. Todo el proceso documentado en un historial digital seguro.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8. Conclusiones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Las TIC no son un complemento opcional en el manejo de lesiones del cartílago; se están </w:t>
      </w:r>
      <w:r>
        <w:rPr>
          <w:shd w:val="clear"/>
        </w:rPr>
        <w:t xml:space="preserve">convirtiendo en herramientas esenciales que: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· Mejoran el diagnóstico mediante IA y telemedicina.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· Optimizan el tratamiento con planificación virtual, navegación y bioimpresión.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· Personalizan la rehabilitación a través de plataformas digitales.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· Permiten seguimiento objetivo con sensores y análisis de datos.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· Democratizan el acceso a especialistas mediante teleconsulta.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Sin embargo, debemos abordar con responsabilidad los desafíos de costo, equidad, </w:t>
      </w:r>
      <w:r>
        <w:rPr>
          <w:shd w:val="clear"/>
        </w:rPr>
        <w:t xml:space="preserve">privacidad y validación científica. La tecnología debe estar al servicio del paciente, no al </w:t>
      </w:r>
      <w:r>
        <w:rPr>
          <w:shd w:val="clear"/>
        </w:rPr>
        <w:t>revés.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9. Recomendaciones Prácticas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Para profesionales de la salud: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1. Formarse en competencias digitales básicas.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2. Evaluar críticamente las herramientas TIC antes de adoptarlas.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3. Colaborar con ingenieros y científicos de datos.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4. Priorizar la relación médico-paciente sin deshumanizar.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5. Compartir datos y experiencias en redes colaborativas.</w:t>
      </w:r>
    </w:p>
    <w:p>
      <w:pPr>
        <w:spacing w:lineRule="auto" w:line="259"/>
        <w:rPr>
          <w:shd w:val="clear"/>
        </w:rPr>
      </w:pP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Para instituciones: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1. Invertir en infraestructura tecnológica.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2. Capacitar al personal continuamente.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3. Establecer protocolos de seguridad de datos.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4. Facilitar el acceso equitativo a la tecnología.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10. Cierre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Señoras y señores, el cartílago articular ha sido durante décadas un “talón de Aquiles” de la </w:t>
      </w:r>
      <w:r>
        <w:rPr>
          <w:shd w:val="clear"/>
        </w:rPr>
        <w:t xml:space="preserve">ortopedia. Hoy, gracias a las TIC, estamos escribiendo un nuevo capítulo. La convergencia </w:t>
      </w:r>
      <w:r>
        <w:rPr>
          <w:shd w:val="clear"/>
        </w:rPr>
        <w:t xml:space="preserve">de inteligencia artificial, impresión 3D, telemedicina y sensores está transformando lo que </w:t>
      </w:r>
      <w:r>
        <w:rPr>
          <w:shd w:val="clear"/>
        </w:rPr>
        <w:t xml:space="preserve">antes era un callejón sin salida en un camino lleno de posibilidades.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El futuro del manejo de lesiones condrales no está solo en el quirófano, sino en la </w:t>
      </w:r>
      <w:r>
        <w:rPr>
          <w:shd w:val="clear"/>
        </w:rPr>
        <w:t xml:space="preserve">integración inteligente de la tecnología con la clínica. Nuestro reto como profesionales es </w:t>
      </w:r>
      <w:r>
        <w:rPr>
          <w:shd w:val="clear"/>
        </w:rPr>
        <w:t xml:space="preserve">abrazar esta revolución sin perder de vista lo más importante: el paciente.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Muchas gracias.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Preguntas para el Debate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1. ¿Cómo garantizamos que la IA no reemplace el juicio clínico?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2. ¿Qué estrategias podemos implementar para reducir la brecha digital en salud?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3. ¿Estamos preparados para manejar la enorme cantidad de datos que generarán los </w:t>
      </w:r>
      <w:r>
        <w:rPr>
          <w:shd w:val="clear"/>
        </w:rPr>
        <w:t>wearables?</w:t>
      </w:r>
    </w:p>
    <w:p>
      <w:pPr>
        <w:spacing w:lineRule="auto" w:line="259"/>
        <w:rPr>
          <w:shd w:val="clear"/>
        </w:rPr>
      </w:pPr>
      <w:r>
        <w:rPr>
          <w:shd w:val="clear"/>
        </w:rPr>
        <w:t xml:space="preserve">4. ¿Cómo equilibramos innovación con sostenibilidad económica?</w:t>
      </w:r>
    </w:p>
    <w:p>
      <w:pPr>
        <w:spacing w:lineRule="auto" w:line="259"/>
        <w:rPr>
          <w:color w:val="auto"/>
          <w:sz w:val="22"/>
          <w:szCs w:val="22"/>
          <w:shd w:val="clear"/>
          <w:rFonts w:ascii="NanumGothic" w:eastAsia="NanumGothic" w:hAnsi="NanumGothic" w:cs="NanumGothic"/>
        </w:rPr>
      </w:pPr>
      <w:r>
        <w:rPr>
          <w:shd w:val="clear"/>
        </w:rPr>
        <w:t xml:space="preserve">Fin de la conferencia.</w:t>
      </w:r>
    </w:p>
    <w:sectPr>
      <w:footnotePr>
        <w:numFmt w:val="decimal"/>
        <w:numRestart w:val="continuous"/>
        <w:numStart w:val="1"/>
        <w:pos w:val="pageBottom"/>
      </w:footnotePr>
      <w:endnotePr>
        <w:numFmt w:val="lowerRoman"/>
        <w:numRestart w:val="continuous"/>
        <w:numStart w:val="1"/>
        <w:pos w:val="docEnd"/>
      </w:endnotePr>
      <w:pgSz w:w="11906" w:h="16838"/>
      <w:pgMar w:top="1701" w:left="1440" w:bottom="1440" w:right="1440" w:header="708" w:footer="708" w:gutter="0"/>
      <w:pgNumType w:fmt="decimal"/>
      <w:docGrid w:type="default" w:linePitch="360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avePreviewPicture/>
  <w:proofState w:spelling="clean" w:grammar="clean"/>
  <w:defaultTabStop w:val="800"/>
  <w:displayHorizontalDrawingGridEvery w:val="0"/>
  <w:displayVerticalDrawingGridEvery w:val="2"/>
  <w:noPunctuationKerning/>
  <w:characterSpacingControl w:val="doNotCompress"/>
  <w:bordersDoNotSurroundHeader/>
  <w:bordersDoNotSurroundFooter/>
  <w:compat>
    <w:balanceSingleByteDoubleByteWidth/>
    <w:useFELayout/>
    <w:compatSetting w:name="compatibilityMode" w:uri="http://schemas.microsoft.com/office/word" w:val="15"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docDefaults>
    <w:pPrDefault>
      <w:pPr>
        <w:jc w:val="both"/>
        <w:spacing w:after="160"/>
        <w:rPr/>
      </w:pPr>
    </w:pPrDefault>
    <w:rPrDefault>
      <w:rPr>
        <w:color w:val="auto"/>
        <w:sz w:val="22"/>
        <w:szCs w:val="22"/>
        <w:shd w:val="clear"/>
      </w:rPr>
    </w:rPrDefault>
  </w:docDefaults>
  <w:style w:default="1" w:styleId="PO1" w:type="paragraph">
    <w:name w:val="Normal"/>
    <w:next w:val="PO1"/>
    <w:qFormat/>
    <w:uiPriority w:val="-1"/>
    <w:pPr>
      <w:jc w:val="both"/>
      <w:spacing w:lineRule="auto" w:line="259"/>
      <w:rPr/>
      <w:widowControl w:val="0"/>
      <w:autoSpaceDE w:val="0"/>
      <w:autoSpaceDN w:val="0"/>
    </w:pPr>
    <w:rPr>
      <w:sz w:val="22"/>
      <w:szCs w:val="22"/>
      <w:shd w:val="clear"/>
      <w:rFonts w:ascii="NanumGothic" w:eastAsia="NanumGothic" w:hAnsi="NanumGothic" w:cs="NanumGothic"/>
    </w:rPr>
  </w:style>
  <w:style w:default="1" w:styleId="PO2" w:type="character">
    <w:name w:val="Default Paragraph Font"/>
    <w:next w:val="PO1"/>
    <w:qFormat/>
    <w:uiPriority w:val="-1"/>
    <w:semiHidden/>
    <w:unhideWhenUsed/>
    <w:rPr>
      <w:color w:val="auto"/>
      <w:sz w:val="22"/>
      <w:szCs w:val="22"/>
      <w:shd w:val="clear"/>
    </w:rPr>
  </w:style>
  <w:style w:default="1" w:styleId="PO3" w:type="table">
    <w:name w:val="Normal Table"/>
    <w:uiPriority w:val="-1"/>
    <w:tblPr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default="1" w:styleId="PO4" w:type="numbering">
    <w:name w:val="No List"/>
    <w:next w:val="PO1"/>
    <w:uiPriority w:val="-1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settings" Target="settings.xml"></Relationship><Relationship Id="rId2" Type="http://schemas.openxmlformats.org/officeDocument/2006/relationships/styles" Target="styles.xml"></Relationship><Relationship Id="rId3" Type="http://schemas.openxmlformats.org/officeDocument/2006/relationships/webSettings" Target="webSettings.xml"></Relationship><Relationship Id="rId4" Type="http://schemas.openxmlformats.org/officeDocument/2006/relationships/fontTable" Target="fontTable.xml"></Relationship><Relationship Id="rId5" Type="http://schemas.openxmlformats.org/officeDocument/2006/relationships/theme" Target="theme/theme1.xml"></Relationship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Polaris Office Word</Application>
  <AppVersion>12.000</AppVersion>
  <Characters>0</Characters>
  <CharactersWithSpaces>0</CharactersWithSpaces>
  <DocSecurity>0</DocSecurity>
  <HyperlinksChanged>false</HyperlinksChanged>
  <Lines>0</Lines>
  <LinksUpToDate>false</LinksUpToDate>
  <Pages>6</Pages>
  <Paragraphs>0</Paragraphs>
  <Words>1247</Words>
  <TotalTime>0</TotalTime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:creator>anelysgarcia142</dc:creator>
  <cp:lastModifiedBy/>
</cp:coreProperties>
</file>