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0" w:after="0"/>
        <w:jc w:val="center"/>
        <w:rPr>
          <w:rFonts w:ascii="Arial" w:hAnsi="Arial" w:eastAsia="Calibri" w:cs="Arial"/>
          <w:color w:val="000000"/>
          <w:sz w:val="24"/>
          <w:szCs w:val="24"/>
        </w:rPr>
      </w:pPr>
      <w:r>
        <w:rPr>
          <w:rFonts w:eastAsia="Calibri" w:cs="Arial" w:ascii="Arial" w:hAnsi="Arial"/>
          <w:b/>
          <w:bCs/>
          <w:color w:val="000000"/>
          <w:sz w:val="24"/>
          <w:szCs w:val="24"/>
        </w:rPr>
        <w:t>HOSPITAL DOCENTE CLINICO QUIRURGICO 10 DE OCTUBRE</w:t>
      </w:r>
    </w:p>
    <w:p>
      <w:pPr>
        <w:pStyle w:val="Normal"/>
        <w:widowControl w:val="false"/>
        <w:spacing w:lineRule="auto" w:line="276" w:before="0" w:after="0"/>
        <w:jc w:val="center"/>
        <w:rPr>
          <w:rFonts w:ascii="Arial" w:hAnsi="Arial" w:eastAsia="Times New Roman" w:cs="Arial"/>
          <w:b/>
          <w:color w:val="000000"/>
          <w:sz w:val="24"/>
          <w:szCs w:val="24"/>
        </w:rPr>
      </w:pPr>
      <w:r>
        <w:rPr>
          <w:rFonts w:eastAsia="Times New Roman" w:cs="Arial" w:ascii="Arial" w:hAnsi="Arial"/>
          <w:b/>
          <w:bCs/>
          <w:color w:val="000000"/>
          <w:sz w:val="24"/>
          <w:szCs w:val="24"/>
        </w:rPr>
        <w:t>SERVICIOS DE UROLOGÍA</w:t>
      </w:r>
    </w:p>
    <w:p>
      <w:pPr>
        <w:pStyle w:val="Normal"/>
        <w:spacing w:lineRule="auto" w:line="276"/>
        <w:jc w:val="both"/>
        <w:rPr>
          <w:rFonts w:ascii="Arial" w:hAnsi="Arial" w:eastAsia="Times New Roman" w:cs="Arial"/>
          <w:b/>
          <w:sz w:val="24"/>
          <w:szCs w:val="24"/>
          <w:lang w:val="es-DO" w:eastAsia="es-DO"/>
        </w:rPr>
      </w:pPr>
      <w:r>
        <w:rPr>
          <w:rFonts w:eastAsia="Times New Roman" w:cs="Arial" w:ascii="Arial" w:hAnsi="Arial"/>
          <w:b/>
          <w:sz w:val="24"/>
          <w:szCs w:val="24"/>
          <w:lang w:val="es-DO" w:eastAsia="es-DO"/>
        </w:rPr>
        <w:drawing>
          <wp:anchor behindDoc="1" distT="0" distB="0" distL="0" distR="0" simplePos="0" locked="0" layoutInCell="1" allowOverlap="1" relativeHeight="2">
            <wp:simplePos x="0" y="0"/>
            <wp:positionH relativeFrom="column">
              <wp:posOffset>1979930</wp:posOffset>
            </wp:positionH>
            <wp:positionV relativeFrom="paragraph">
              <wp:posOffset>43180</wp:posOffset>
            </wp:positionV>
            <wp:extent cx="1440180" cy="1735455"/>
            <wp:effectExtent l="0" t="0" r="0" b="0"/>
            <wp:wrapNone/>
            <wp:docPr id="1" name="Imagen 8" descr="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8" descr="final"/>
                    <pic:cNvPicPr>
                      <a:picLocks noChangeAspect="1" noChangeArrowheads="1"/>
                    </pic:cNvPicPr>
                  </pic:nvPicPr>
                  <pic:blipFill>
                    <a:blip r:embed="rId2"/>
                    <a:stretch>
                      <a:fillRect/>
                    </a:stretch>
                  </pic:blipFill>
                  <pic:spPr bwMode="auto">
                    <a:xfrm>
                      <a:off x="0" y="0"/>
                      <a:ext cx="1440180" cy="1735455"/>
                    </a:xfrm>
                    <a:prstGeom prst="rect">
                      <a:avLst/>
                    </a:prstGeom>
                  </pic:spPr>
                </pic:pic>
              </a:graphicData>
            </a:graphic>
          </wp:anchor>
        </w:drawing>
      </w:r>
    </w:p>
    <w:p>
      <w:pPr>
        <w:pStyle w:val="Normal"/>
        <w:spacing w:lineRule="auto" w:line="276"/>
        <w:jc w:val="both"/>
        <w:rPr>
          <w:rFonts w:ascii="Arial" w:hAnsi="Arial" w:cs="Arial"/>
          <w:sz w:val="24"/>
          <w:szCs w:val="24"/>
        </w:rPr>
      </w:pPr>
      <w:r>
        <w:rPr>
          <w:rFonts w:cs="Arial" w:ascii="Arial" w:hAnsi="Arial"/>
          <w:sz w:val="24"/>
          <w:szCs w:val="24"/>
        </w:rPr>
      </w:r>
    </w:p>
    <w:p>
      <w:pPr>
        <w:pStyle w:val="Normal"/>
        <w:spacing w:lineRule="auto" w:line="276"/>
        <w:jc w:val="both"/>
        <w:rPr>
          <w:rFonts w:ascii="Arial" w:hAnsi="Arial" w:cs="Arial"/>
          <w:sz w:val="24"/>
          <w:szCs w:val="24"/>
        </w:rPr>
      </w:pPr>
      <w:r>
        <w:rPr>
          <w:rFonts w:cs="Arial" w:ascii="Arial" w:hAnsi="Arial"/>
          <w:sz w:val="24"/>
          <w:szCs w:val="24"/>
        </w:rPr>
      </w:r>
    </w:p>
    <w:p>
      <w:pPr>
        <w:pStyle w:val="Normal"/>
        <w:spacing w:lineRule="auto" w:line="276"/>
        <w:jc w:val="both"/>
        <w:rPr>
          <w:rFonts w:ascii="Arial" w:hAnsi="Arial" w:cs="Arial"/>
          <w:sz w:val="24"/>
          <w:szCs w:val="24"/>
        </w:rPr>
      </w:pPr>
      <w:r>
        <w:rPr>
          <w:rFonts w:cs="Arial" w:ascii="Arial" w:hAnsi="Arial"/>
          <w:sz w:val="24"/>
          <w:szCs w:val="24"/>
        </w:rPr>
      </w:r>
    </w:p>
    <w:p>
      <w:pPr>
        <w:pStyle w:val="Normal"/>
        <w:spacing w:lineRule="auto" w:line="276"/>
        <w:jc w:val="both"/>
        <w:rPr>
          <w:rFonts w:ascii="Arial" w:hAnsi="Arial" w:cs="Arial"/>
          <w:sz w:val="24"/>
          <w:szCs w:val="24"/>
        </w:rPr>
      </w:pPr>
      <w:r>
        <w:rPr>
          <w:rFonts w:cs="Arial" w:ascii="Arial" w:hAnsi="Arial"/>
          <w:sz w:val="24"/>
          <w:szCs w:val="24"/>
        </w:rPr>
      </w:r>
    </w:p>
    <w:p>
      <w:pPr>
        <w:pStyle w:val="Normal"/>
        <w:spacing w:lineRule="auto" w:line="276"/>
        <w:jc w:val="both"/>
        <w:rPr>
          <w:rFonts w:ascii="Arial" w:hAnsi="Arial" w:cs="Arial"/>
          <w:sz w:val="24"/>
          <w:szCs w:val="24"/>
        </w:rPr>
      </w:pPr>
      <w:r>
        <w:rPr>
          <w:rFonts w:cs="Arial" w:ascii="Arial" w:hAnsi="Arial"/>
          <w:sz w:val="24"/>
          <w:szCs w:val="24"/>
        </w:rPr>
      </w:r>
    </w:p>
    <w:p>
      <w:pPr>
        <w:pStyle w:val="Normal"/>
        <w:spacing w:lineRule="auto" w:line="276"/>
        <w:jc w:val="both"/>
        <w:rPr>
          <w:rFonts w:ascii="Arial" w:hAnsi="Arial" w:cs="Arial"/>
          <w:sz w:val="24"/>
          <w:szCs w:val="24"/>
        </w:rPr>
      </w:pPr>
      <w:r>
        <w:rPr>
          <w:rFonts w:cs="Arial" w:ascii="Arial" w:hAnsi="Arial"/>
          <w:sz w:val="24"/>
          <w:szCs w:val="24"/>
        </w:rPr>
      </w:r>
    </w:p>
    <w:p>
      <w:pPr>
        <w:pStyle w:val="Normal"/>
        <w:spacing w:lineRule="auto" w:line="276"/>
        <w:jc w:val="center"/>
        <w:rPr>
          <w:rFonts w:ascii="Arial" w:hAnsi="Arial" w:cs="Arial"/>
          <w:b/>
          <w:sz w:val="24"/>
          <w:szCs w:val="24"/>
        </w:rPr>
      </w:pPr>
      <w:r>
        <w:rPr>
          <w:rFonts w:cs="Arial" w:ascii="Arial" w:hAnsi="Arial"/>
          <w:b/>
          <w:sz w:val="24"/>
          <w:szCs w:val="24"/>
        </w:rPr>
        <w:t>UTILIDAD DEL ANT</w:t>
      </w:r>
      <w:r>
        <w:rPr>
          <w:rFonts w:cs="Arial" w:ascii="Arial" w:hAnsi="Arial"/>
          <w:b/>
          <w:sz w:val="24"/>
          <w:szCs w:val="24"/>
        </w:rPr>
        <w:t>Í</w:t>
      </w:r>
      <w:r>
        <w:rPr>
          <w:rFonts w:cs="Arial" w:ascii="Arial" w:hAnsi="Arial"/>
          <w:b/>
          <w:sz w:val="24"/>
          <w:szCs w:val="24"/>
        </w:rPr>
        <w:t>GENO PROST</w:t>
      </w:r>
      <w:r>
        <w:rPr>
          <w:rFonts w:cs="Arial" w:ascii="Arial" w:hAnsi="Arial"/>
          <w:b/>
          <w:sz w:val="24"/>
          <w:szCs w:val="24"/>
        </w:rPr>
        <w:t>Á</w:t>
      </w:r>
      <w:r>
        <w:rPr>
          <w:rFonts w:cs="Arial" w:ascii="Arial" w:hAnsi="Arial"/>
          <w:b/>
          <w:sz w:val="24"/>
          <w:szCs w:val="24"/>
        </w:rPr>
        <w:t>TICO ESPECIFICO PARA EL DIAGN</w:t>
      </w:r>
      <w:r>
        <w:rPr>
          <w:rFonts w:cs="Arial" w:ascii="Arial" w:hAnsi="Arial"/>
          <w:b/>
          <w:sz w:val="24"/>
          <w:szCs w:val="24"/>
        </w:rPr>
        <w:t>Ó</w:t>
      </w:r>
      <w:r>
        <w:rPr>
          <w:rFonts w:cs="Arial" w:ascii="Arial" w:hAnsi="Arial"/>
          <w:b/>
          <w:sz w:val="24"/>
          <w:szCs w:val="24"/>
        </w:rPr>
        <w:t>STICO ESTADIAMIENTO Y SEGUIMIENTO DEL CÁNCER DE PRÓSTATA</w:t>
      </w:r>
    </w:p>
    <w:p>
      <w:pPr>
        <w:pStyle w:val="Normal"/>
        <w:spacing w:lineRule="auto" w:line="276"/>
        <w:jc w:val="both"/>
        <w:rPr>
          <w:rFonts w:ascii="Arial" w:hAnsi="Arial" w:cs="Arial"/>
          <w:sz w:val="24"/>
          <w:szCs w:val="24"/>
        </w:rPr>
      </w:pPr>
      <w:r>
        <w:rPr>
          <w:rFonts w:cs="Arial" w:ascii="Arial" w:hAnsi="Arial"/>
          <w:sz w:val="24"/>
          <w:szCs w:val="24"/>
        </w:rPr>
      </w:r>
    </w:p>
    <w:p>
      <w:pPr>
        <w:pStyle w:val="Normal"/>
        <w:tabs>
          <w:tab w:val="clear" w:pos="708"/>
          <w:tab w:val="left" w:pos="6165" w:leader="none"/>
        </w:tabs>
        <w:spacing w:lineRule="auto" w:line="276"/>
        <w:jc w:val="left"/>
        <w:rPr>
          <w:rFonts w:ascii="Arial" w:hAnsi="Arial" w:cs="Arial"/>
          <w:sz w:val="24"/>
          <w:szCs w:val="24"/>
        </w:rPr>
      </w:pPr>
      <w:r>
        <w:rPr>
          <w:rFonts w:cs="Arial" w:ascii="Arial" w:hAnsi="Arial"/>
          <w:sz w:val="24"/>
          <w:szCs w:val="24"/>
        </w:rPr>
        <w:tab/>
      </w:r>
      <w:r>
        <w:rPr>
          <w:rFonts w:cs="Arial" w:ascii="Arial" w:hAnsi="Arial"/>
          <w:sz w:val="24"/>
          <w:szCs w:val="24"/>
        </w:rPr>
        <w:t>CASO CLÍNICO</w:t>
      </w:r>
    </w:p>
    <w:p>
      <w:pPr>
        <w:pStyle w:val="Normal"/>
        <w:rPr/>
      </w:pPr>
      <w:r>
        <w:rPr/>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Dr. Victoir Ortiz Muñoz</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Especialista en 1</w:t>
      </w:r>
      <w:r>
        <w:rPr>
          <w:rFonts w:cs="Arial" w:ascii="Arial" w:hAnsi="Arial"/>
          <w:sz w:val="24"/>
          <w:szCs w:val="24"/>
          <w:vertAlign w:val="superscript"/>
        </w:rPr>
        <w:t xml:space="preserve">er </w:t>
      </w:r>
      <w:r>
        <w:rPr>
          <w:rFonts w:cs="Arial" w:ascii="Arial" w:hAnsi="Arial"/>
          <w:sz w:val="24"/>
          <w:szCs w:val="24"/>
        </w:rPr>
        <w:t xml:space="preserve">grado de urología </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Hospital docente clínico quirúrgico 10 de octubre (Habana - Cuba)</w:t>
      </w:r>
    </w:p>
    <w:p>
      <w:pPr>
        <w:pStyle w:val="Normal"/>
        <w:tabs>
          <w:tab w:val="clear" w:pos="708"/>
          <w:tab w:val="left" w:pos="6165" w:leader="none"/>
        </w:tabs>
        <w:spacing w:lineRule="auto" w:line="276"/>
        <w:jc w:val="both"/>
        <w:rPr>
          <w:rStyle w:val="Hyperlink"/>
          <w:rFonts w:ascii="Arial" w:hAnsi="Arial" w:cs="Arial"/>
          <w:sz w:val="24"/>
          <w:szCs w:val="24"/>
        </w:rPr>
      </w:pPr>
      <w:r>
        <w:rPr>
          <w:rFonts w:cs="Arial" w:ascii="Arial" w:hAnsi="Arial"/>
          <w:sz w:val="24"/>
          <w:szCs w:val="24"/>
        </w:rPr>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DR. Ronal E. Lopez Mamani </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Especialista en 1</w:t>
      </w:r>
      <w:r>
        <w:rPr>
          <w:rFonts w:cs="Arial" w:ascii="Arial" w:hAnsi="Arial"/>
          <w:sz w:val="24"/>
          <w:szCs w:val="24"/>
          <w:vertAlign w:val="superscript"/>
        </w:rPr>
        <w:t xml:space="preserve">er </w:t>
      </w:r>
      <w:r>
        <w:rPr>
          <w:rFonts w:cs="Arial" w:ascii="Arial" w:hAnsi="Arial"/>
          <w:sz w:val="24"/>
          <w:szCs w:val="24"/>
        </w:rPr>
        <w:t xml:space="preserve">grado de urología </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Especialista en 1</w:t>
      </w:r>
      <w:r>
        <w:rPr>
          <w:rFonts w:cs="Arial" w:ascii="Arial" w:hAnsi="Arial"/>
          <w:sz w:val="24"/>
          <w:szCs w:val="24"/>
          <w:vertAlign w:val="superscript"/>
        </w:rPr>
        <w:t xml:space="preserve">er </w:t>
      </w:r>
      <w:r>
        <w:rPr>
          <w:rFonts w:cs="Arial" w:ascii="Arial" w:hAnsi="Arial"/>
          <w:sz w:val="24"/>
          <w:szCs w:val="24"/>
        </w:rPr>
        <w:t xml:space="preserve">grado de medicina general integral </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Hospital docente clínico quirúrgico 10 de octubre (Habana - </w:t>
      </w:r>
      <w:bookmarkStart w:id="0" w:name="_GoBack"/>
      <w:bookmarkEnd w:id="0"/>
      <w:r>
        <w:rPr>
          <w:rFonts w:cs="Arial" w:ascii="Arial" w:hAnsi="Arial"/>
          <w:sz w:val="24"/>
          <w:szCs w:val="24"/>
        </w:rPr>
        <w:t xml:space="preserve">Cuba </w:t>
        <w:tab/>
        <w:t>)</w:t>
      </w:r>
    </w:p>
    <w:p>
      <w:pPr>
        <w:pStyle w:val="Normal"/>
        <w:tabs>
          <w:tab w:val="clear" w:pos="708"/>
          <w:tab w:val="left" w:pos="6165" w:leader="none"/>
        </w:tabs>
        <w:spacing w:lineRule="auto" w:line="276"/>
        <w:jc w:val="both"/>
        <w:rPr>
          <w:rFonts w:ascii="Arial" w:hAnsi="Arial" w:cs="Arial"/>
          <w:sz w:val="24"/>
          <w:szCs w:val="24"/>
        </w:rPr>
      </w:pPr>
      <w:r>
        <w:rPr/>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Mariano A Melian Dalmao</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Especialista en 1</w:t>
      </w:r>
      <w:r>
        <w:rPr>
          <w:rFonts w:cs="Arial" w:ascii="Arial" w:hAnsi="Arial"/>
          <w:sz w:val="24"/>
          <w:szCs w:val="24"/>
          <w:vertAlign w:val="superscript"/>
        </w:rPr>
        <w:t xml:space="preserve">er </w:t>
      </w:r>
      <w:r>
        <w:rPr>
          <w:rFonts w:cs="Arial" w:ascii="Arial" w:hAnsi="Arial"/>
          <w:sz w:val="24"/>
          <w:szCs w:val="24"/>
        </w:rPr>
        <w:t xml:space="preserve">grado de urología </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Hospital docente clínico quirúrgico 10 de octubre (Habana - </w:t>
      </w:r>
      <w:bookmarkStart w:id="1" w:name="_GoBack_Copia_1"/>
      <w:bookmarkEnd w:id="1"/>
      <w:r>
        <w:rPr>
          <w:rFonts w:cs="Arial" w:ascii="Arial" w:hAnsi="Arial"/>
          <w:sz w:val="24"/>
          <w:szCs w:val="24"/>
        </w:rPr>
        <w:t xml:space="preserve">Cuba </w:t>
        <w:tab/>
        <w:t>)</w:t>
      </w:r>
    </w:p>
    <w:p>
      <w:pPr>
        <w:pStyle w:val="Normal"/>
        <w:tabs>
          <w:tab w:val="clear" w:pos="708"/>
          <w:tab w:val="left" w:pos="6165" w:leader="none"/>
        </w:tabs>
        <w:spacing w:lineRule="auto" w:line="276"/>
        <w:jc w:val="both"/>
        <w:rPr>
          <w:rFonts w:ascii="Arial" w:hAnsi="Arial" w:cs="Arial"/>
          <w:sz w:val="24"/>
          <w:szCs w:val="24"/>
        </w:rPr>
      </w:pPr>
      <w:r>
        <w:rPr/>
      </w:r>
    </w:p>
    <w:p>
      <w:pPr>
        <w:pStyle w:val="Normal"/>
        <w:tabs>
          <w:tab w:val="clear" w:pos="708"/>
          <w:tab w:val="left" w:pos="6165" w:leader="none"/>
        </w:tabs>
        <w:spacing w:lineRule="auto" w:line="276"/>
        <w:jc w:val="both"/>
        <w:rPr>
          <w:rFonts w:ascii="Arial" w:hAnsi="Arial" w:cs="Arial"/>
          <w:sz w:val="24"/>
          <w:szCs w:val="24"/>
        </w:rPr>
      </w:pPr>
      <w:r>
        <w:rPr/>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r>
    </w:p>
    <w:p>
      <w:pPr>
        <w:pStyle w:val="Normal"/>
        <w:tabs>
          <w:tab w:val="clear" w:pos="708"/>
          <w:tab w:val="left" w:pos="6165" w:leader="none"/>
        </w:tabs>
        <w:spacing w:lineRule="auto" w:line="276"/>
        <w:jc w:val="both"/>
        <w:rPr>
          <w:rFonts w:ascii="Arial" w:hAnsi="Arial" w:cs="Arial"/>
          <w:b/>
          <w:sz w:val="24"/>
          <w:szCs w:val="24"/>
          <w:u w:val="single"/>
        </w:rPr>
      </w:pPr>
      <w:r>
        <w:rPr>
          <w:rFonts w:cs="Arial" w:ascii="Arial" w:hAnsi="Arial"/>
          <w:b/>
          <w:sz w:val="24"/>
          <w:szCs w:val="24"/>
          <w:u w:val="single"/>
        </w:rPr>
        <w:t xml:space="preserve">INTRODUCCION </w:t>
      </w:r>
    </w:p>
    <w:p>
      <w:pPr>
        <w:pStyle w:val="Normal"/>
        <w:spacing w:lineRule="auto" w:line="276"/>
        <w:ind w:left="-5"/>
        <w:jc w:val="both"/>
        <w:rPr>
          <w:rFonts w:ascii="Arial" w:hAnsi="Arial" w:cs="Arial"/>
          <w:sz w:val="24"/>
          <w:szCs w:val="24"/>
        </w:rPr>
      </w:pPr>
      <w:r>
        <w:rPr>
          <w:rFonts w:cs="Arial" w:ascii="Arial" w:hAnsi="Arial"/>
          <w:sz w:val="24"/>
          <w:szCs w:val="24"/>
        </w:rPr>
        <w:t>El antígeno específico de la próstata (PSA)  es una glucoproteína de unos 33.000 daltons, que forma parte de la familia de las calicreínas y tiene una actividad enzimática semejante a la quimotripsina. El PSA es producido por las células epiteliales de la próstata y secretado al líquido seminal, en donde, gracias a su acción proteolítica, participa en la liquefacción del coágulo seminal y favorece así la migración de los espermatozoides a lo largo del tracto genital femenino.</w:t>
      </w:r>
    </w:p>
    <w:p>
      <w:pPr>
        <w:pStyle w:val="Normal"/>
        <w:spacing w:lineRule="auto" w:line="276" w:before="0" w:after="457"/>
        <w:ind w:left="-5"/>
        <w:jc w:val="both"/>
        <w:rPr>
          <w:rFonts w:ascii="Arial" w:hAnsi="Arial" w:cs="Arial"/>
          <w:sz w:val="24"/>
          <w:szCs w:val="24"/>
        </w:rPr>
      </w:pPr>
      <w:r>
        <w:rPr>
          <w:rFonts w:cs="Arial" w:ascii="Arial" w:hAnsi="Arial"/>
          <w:sz w:val="24"/>
          <w:szCs w:val="24"/>
        </w:rPr>
        <w:t>Si bien, tal como su nombre indica, el PSA se describió inicialmente como un antígeno producido específicamente por las células epiteliales prostáticas, más recientemente se ha observado que también se puede expresar tanto por las glándulas periuretrales y perirrectales como por diversos tejidos ex- traprostáticos. Estos datos, además de cuestionar la especificidad prostática del PSA, indican que la presencia de ciertos valores, si bien sumamente bajos, de este antígeno son posibles tras la realización de una prostatectomía radical, aun en ausencia de tumor residual.</w:t>
      </w:r>
    </w:p>
    <w:p>
      <w:pPr>
        <w:pStyle w:val="Normal"/>
        <w:spacing w:lineRule="auto" w:line="276" w:before="0" w:after="457"/>
        <w:ind w:left="-5"/>
        <w:jc w:val="both"/>
        <w:rPr>
          <w:rFonts w:ascii="Arial" w:hAnsi="Arial" w:cs="Arial"/>
          <w:sz w:val="24"/>
          <w:szCs w:val="24"/>
        </w:rPr>
      </w:pPr>
      <w:r>
        <w:rPr>
          <w:rFonts w:cs="Arial" w:ascii="Arial" w:hAnsi="Arial"/>
          <w:sz w:val="24"/>
          <w:szCs w:val="24"/>
        </w:rPr>
        <w:t xml:space="preserve">A causa de su actividad enzimática, tan sólo un pequeño porcentaje de PSA circula en forma libre. En su forma mayoritaria, el PSA circula unido a proteínas inhibidoras de las proteasas, entre las que destacan la </w:t>
      </w:r>
      <w:r>
        <w:rPr>
          <w:rFonts w:eastAsia="Segoe UI Symbol" w:cs="Arial" w:ascii="Arial" w:hAnsi="Arial"/>
          <w:sz w:val="24"/>
          <w:szCs w:val="24"/>
        </w:rPr>
        <w:t>α</w:t>
      </w:r>
      <w:r>
        <w:rPr>
          <w:rFonts w:cs="Arial" w:ascii="Arial" w:hAnsi="Arial"/>
          <w:sz w:val="24"/>
          <w:szCs w:val="24"/>
        </w:rPr>
        <w:t xml:space="preserve">-1-antiquimiotripsina, el inhibidor de la </w:t>
      </w:r>
      <w:r>
        <w:rPr>
          <w:rFonts w:eastAsia="Segoe UI Symbol" w:cs="Arial" w:ascii="Arial" w:hAnsi="Arial"/>
          <w:sz w:val="24"/>
          <w:szCs w:val="24"/>
        </w:rPr>
        <w:t>α</w:t>
      </w:r>
      <w:r>
        <w:rPr>
          <w:rFonts w:cs="Arial" w:ascii="Arial" w:hAnsi="Arial"/>
          <w:sz w:val="24"/>
          <w:szCs w:val="24"/>
        </w:rPr>
        <w:t xml:space="preserve">-1-proteasa y la </w:t>
      </w:r>
      <w:r>
        <w:rPr>
          <w:rFonts w:eastAsia="Segoe UI Symbol" w:cs="Arial" w:ascii="Arial" w:hAnsi="Arial"/>
          <w:sz w:val="24"/>
          <w:szCs w:val="24"/>
        </w:rPr>
        <w:t>α</w:t>
      </w:r>
      <w:r>
        <w:rPr>
          <w:rFonts w:cs="Arial" w:ascii="Arial" w:hAnsi="Arial"/>
          <w:sz w:val="24"/>
          <w:szCs w:val="24"/>
        </w:rPr>
        <w:t>-2-macroglobulina, la cual, al englobar la totalidad de epítopos de este antígeno, conforma un PSA indetectable mediante los métodos analíticos usuales. A la posibilidad de dosificar el PSA total, utilizada desde hace años en la práctica clínica, se ha unido más recientemente la posibilidad de dosificar mediante técnicas de inmunoanálisis comerciales el PSA libre y el PSA unido.</w:t>
      </w:r>
    </w:p>
    <w:p>
      <w:pPr>
        <w:pStyle w:val="Normal"/>
        <w:spacing w:lineRule="auto" w:line="276" w:before="0" w:after="457"/>
        <w:ind w:left="-5"/>
        <w:jc w:val="both"/>
        <w:rPr>
          <w:rFonts w:ascii="Arial" w:hAnsi="Arial" w:cs="Arial"/>
          <w:sz w:val="24"/>
          <w:szCs w:val="24"/>
        </w:rPr>
      </w:pPr>
      <w:r>
        <w:rPr>
          <w:rFonts w:cs="Arial" w:ascii="Arial" w:hAnsi="Arial"/>
          <w:sz w:val="24"/>
          <w:szCs w:val="24"/>
        </w:rPr>
        <w:t>En condiciones normales, la célula epitelial de la próstata y la membrana basal forman una barrera que impide el acceso del PSA a la sangre. Por ello, el PSA se acumula en el líquido seminal y tan sólo pasa a la circulación general en pequeñas cantidades. Se admite pues que en el adulto sano la concentración de PSA debe ser &lt; 4 ng/ml, si bien se han descrito ciertas diferencias que se relacionan con la edad. Así se ha propuesto que la normalidad variaría entre los 2,5 ng/ml para varones de edades comprendidas entre los 40 y los 49 años y los 6,5 ng/ml para los de edades de 70 a 79 años.</w:t>
      </w:r>
    </w:p>
    <w:p>
      <w:pPr>
        <w:pStyle w:val="Normal"/>
        <w:spacing w:lineRule="auto" w:line="276" w:before="0" w:after="0"/>
        <w:jc w:val="both"/>
        <w:rPr>
          <w:rFonts w:ascii="Arial" w:hAnsi="Arial" w:cs="Arial"/>
          <w:color w:val="20201F"/>
          <w:sz w:val="24"/>
          <w:szCs w:val="24"/>
        </w:rPr>
      </w:pPr>
      <w:r>
        <w:rPr>
          <w:rFonts w:cs="Arial" w:ascii="Arial" w:hAnsi="Arial"/>
          <w:color w:val="20201F"/>
          <w:sz w:val="24"/>
          <w:szCs w:val="24"/>
        </w:rPr>
        <w:t xml:space="preserve">• </w:t>
      </w:r>
      <w:r>
        <w:rPr>
          <w:rFonts w:cs="Arial" w:ascii="Arial" w:hAnsi="Arial"/>
          <w:color w:val="20201F"/>
          <w:sz w:val="24"/>
          <w:szCs w:val="24"/>
        </w:rPr>
        <w:t xml:space="preserve">La combinación de tacto rectal y PSA sérico es la prueba de primera línea más útil para evaluar el riesgo de cáncer de próstata. La presencia de patología prostática (cáncer de próstata, hiperplasia prostática benigna </w:t>
      </w:r>
      <w:r>
        <w:rPr>
          <w:rFonts w:cs="Arial" w:ascii="Arial" w:hAnsi="Arial"/>
          <w:color w:val="313130"/>
          <w:sz w:val="24"/>
          <w:szCs w:val="24"/>
        </w:rPr>
        <w:t xml:space="preserve">y </w:t>
      </w:r>
      <w:r>
        <w:rPr>
          <w:rFonts w:cs="Arial" w:ascii="Arial" w:hAnsi="Arial"/>
          <w:color w:val="20201F"/>
          <w:sz w:val="24"/>
          <w:szCs w:val="24"/>
        </w:rPr>
        <w:t>prostatitis) es el factor más importante que influye en las concentraciones séricas de PSA.</w:t>
      </w:r>
    </w:p>
    <w:p>
      <w:pPr>
        <w:pStyle w:val="Normal"/>
        <w:spacing w:lineRule="auto" w:line="276" w:before="0" w:after="0"/>
        <w:jc w:val="both"/>
        <w:rPr>
          <w:rFonts w:ascii="Arial" w:hAnsi="Arial" w:cs="Arial"/>
          <w:color w:val="313130"/>
          <w:sz w:val="24"/>
          <w:szCs w:val="24"/>
        </w:rPr>
      </w:pPr>
      <w:r>
        <w:rPr>
          <w:rFonts w:cs="Arial" w:ascii="Arial" w:hAnsi="Arial"/>
          <w:color w:val="20201F"/>
          <w:sz w:val="24"/>
          <w:szCs w:val="24"/>
        </w:rPr>
        <w:t xml:space="preserve">• </w:t>
      </w:r>
      <w:r>
        <w:rPr>
          <w:rFonts w:cs="Arial" w:ascii="Arial" w:hAnsi="Arial"/>
          <w:color w:val="20201F"/>
          <w:sz w:val="24"/>
          <w:szCs w:val="24"/>
        </w:rPr>
        <w:t xml:space="preserve">El PSA </w:t>
      </w:r>
      <w:r>
        <w:rPr>
          <w:rFonts w:cs="Arial" w:ascii="Arial" w:hAnsi="Arial"/>
          <w:color w:val="313130"/>
          <w:sz w:val="24"/>
          <w:szCs w:val="24"/>
        </w:rPr>
        <w:t xml:space="preserve">aumenta </w:t>
      </w:r>
      <w:r>
        <w:rPr>
          <w:rFonts w:cs="Arial" w:ascii="Arial" w:hAnsi="Arial"/>
          <w:color w:val="20201F"/>
          <w:sz w:val="24"/>
          <w:szCs w:val="24"/>
        </w:rPr>
        <w:t xml:space="preserve">las tasas de detección de cáncer de próstata </w:t>
      </w:r>
      <w:r>
        <w:rPr>
          <w:rFonts w:cs="Arial" w:ascii="Arial" w:hAnsi="Arial"/>
          <w:color w:val="313130"/>
          <w:sz w:val="24"/>
          <w:szCs w:val="24"/>
        </w:rPr>
        <w:t xml:space="preserve">y </w:t>
      </w:r>
      <w:r>
        <w:rPr>
          <w:rFonts w:cs="Arial" w:ascii="Arial" w:hAnsi="Arial"/>
          <w:color w:val="20201F"/>
          <w:sz w:val="24"/>
          <w:szCs w:val="24"/>
        </w:rPr>
        <w:t>permite detectar cánceres de próstata que tienen mayores probabilidades</w:t>
      </w:r>
      <w:r>
        <w:rPr>
          <w:rFonts w:cs="Arial" w:ascii="Arial" w:hAnsi="Arial"/>
          <w:color w:val="313130"/>
          <w:sz w:val="24"/>
          <w:szCs w:val="24"/>
        </w:rPr>
        <w:t xml:space="preserve"> </w:t>
      </w:r>
      <w:r>
        <w:rPr>
          <w:rFonts w:cs="Arial" w:ascii="Arial" w:hAnsi="Arial"/>
          <w:color w:val="20201F"/>
          <w:sz w:val="24"/>
          <w:szCs w:val="24"/>
        </w:rPr>
        <w:t xml:space="preserve">de estar limitados, que en el </w:t>
      </w:r>
      <w:r>
        <w:rPr>
          <w:rFonts w:cs="Arial" w:ascii="Arial" w:hAnsi="Arial"/>
          <w:color w:val="313130"/>
          <w:sz w:val="24"/>
          <w:szCs w:val="24"/>
        </w:rPr>
        <w:t xml:space="preserve">caso </w:t>
      </w:r>
      <w:r>
        <w:rPr>
          <w:rFonts w:cs="Arial" w:ascii="Arial" w:hAnsi="Arial"/>
          <w:color w:val="20201F"/>
          <w:sz w:val="24"/>
          <w:szCs w:val="24"/>
        </w:rPr>
        <w:t>de detección sin uso</w:t>
      </w:r>
      <w:r>
        <w:rPr>
          <w:rFonts w:cs="Arial" w:ascii="Arial" w:hAnsi="Arial"/>
          <w:color w:val="313130"/>
          <w:sz w:val="24"/>
          <w:szCs w:val="24"/>
        </w:rPr>
        <w:t xml:space="preserve"> </w:t>
      </w:r>
      <w:r>
        <w:rPr>
          <w:rFonts w:cs="Arial" w:ascii="Arial" w:hAnsi="Arial"/>
          <w:color w:val="20201F"/>
          <w:sz w:val="24"/>
          <w:szCs w:val="24"/>
        </w:rPr>
        <w:t>de PSA.</w:t>
      </w:r>
    </w:p>
    <w:p>
      <w:pPr>
        <w:pStyle w:val="Normal"/>
        <w:spacing w:lineRule="auto" w:line="276" w:before="0" w:after="0"/>
        <w:jc w:val="both"/>
        <w:rPr>
          <w:rFonts w:ascii="Arial" w:hAnsi="Arial" w:cs="Arial"/>
          <w:color w:val="20201F"/>
          <w:sz w:val="24"/>
          <w:szCs w:val="24"/>
        </w:rPr>
      </w:pPr>
      <w:r>
        <w:rPr>
          <w:rFonts w:cs="Arial" w:ascii="Arial" w:hAnsi="Arial"/>
          <w:color w:val="20201F"/>
          <w:sz w:val="24"/>
          <w:szCs w:val="24"/>
        </w:rPr>
        <w:t xml:space="preserve">• </w:t>
      </w:r>
      <w:r>
        <w:rPr>
          <w:rFonts w:cs="Arial" w:ascii="Arial" w:hAnsi="Arial"/>
          <w:color w:val="20201F"/>
          <w:sz w:val="24"/>
          <w:szCs w:val="24"/>
        </w:rPr>
        <w:t xml:space="preserve">El futuro riesgo de detección de cáncer de próstata </w:t>
      </w:r>
      <w:r>
        <w:rPr>
          <w:rFonts w:cs="Arial" w:ascii="Arial" w:hAnsi="Arial"/>
          <w:color w:val="313130"/>
          <w:sz w:val="24"/>
          <w:szCs w:val="24"/>
        </w:rPr>
        <w:t xml:space="preserve">y </w:t>
      </w:r>
      <w:r>
        <w:rPr>
          <w:rFonts w:cs="Arial" w:ascii="Arial" w:hAnsi="Arial"/>
          <w:color w:val="20201F"/>
          <w:sz w:val="24"/>
          <w:szCs w:val="24"/>
        </w:rPr>
        <w:t xml:space="preserve">la probabilidad de hallar </w:t>
      </w:r>
      <w:r>
        <w:rPr>
          <w:rFonts w:cs="Arial" w:ascii="Arial" w:hAnsi="Arial"/>
          <w:color w:val="313130"/>
          <w:sz w:val="24"/>
          <w:szCs w:val="24"/>
        </w:rPr>
        <w:t xml:space="preserve">cáncer </w:t>
      </w:r>
      <w:r>
        <w:rPr>
          <w:rFonts w:cs="Arial" w:ascii="Arial" w:hAnsi="Arial"/>
          <w:color w:val="20201F"/>
          <w:sz w:val="24"/>
          <w:szCs w:val="24"/>
        </w:rPr>
        <w:t xml:space="preserve">en la biopsia prostática se incrementan con el aumento de la concentración </w:t>
      </w:r>
      <w:r>
        <w:rPr>
          <w:rFonts w:cs="Arial" w:ascii="Arial" w:hAnsi="Arial"/>
          <w:color w:val="313130"/>
          <w:sz w:val="24"/>
          <w:szCs w:val="24"/>
        </w:rPr>
        <w:t xml:space="preserve">sérica </w:t>
      </w:r>
      <w:r>
        <w:rPr>
          <w:rFonts w:cs="Arial" w:ascii="Arial" w:hAnsi="Arial"/>
          <w:color w:val="20201F"/>
          <w:sz w:val="24"/>
          <w:szCs w:val="24"/>
        </w:rPr>
        <w:t>de PSA.</w:t>
      </w:r>
    </w:p>
    <w:p>
      <w:pPr>
        <w:pStyle w:val="Normal"/>
        <w:spacing w:lineRule="auto" w:line="276" w:before="0" w:after="0"/>
        <w:jc w:val="both"/>
        <w:rPr>
          <w:rFonts w:ascii="Arial" w:hAnsi="Arial" w:cs="Arial"/>
          <w:color w:val="313130"/>
          <w:sz w:val="24"/>
          <w:szCs w:val="24"/>
        </w:rPr>
      </w:pPr>
      <w:r>
        <w:rPr>
          <w:rFonts w:cs="Arial" w:ascii="Arial" w:hAnsi="Arial"/>
          <w:color w:val="20201F"/>
          <w:sz w:val="24"/>
          <w:szCs w:val="24"/>
        </w:rPr>
        <w:t xml:space="preserve">• </w:t>
      </w:r>
      <w:r>
        <w:rPr>
          <w:rFonts w:cs="Arial" w:ascii="Arial" w:hAnsi="Arial"/>
          <w:color w:val="20201F"/>
          <w:sz w:val="24"/>
          <w:szCs w:val="24"/>
        </w:rPr>
        <w:t xml:space="preserve">La supervivencia sin recurrencia bioquímica </w:t>
      </w:r>
      <w:r>
        <w:rPr>
          <w:rFonts w:cs="Arial" w:ascii="Arial" w:hAnsi="Arial"/>
          <w:color w:val="313130"/>
          <w:sz w:val="24"/>
          <w:szCs w:val="24"/>
        </w:rPr>
        <w:t xml:space="preserve">y </w:t>
      </w:r>
      <w:r>
        <w:rPr>
          <w:rFonts w:cs="Arial" w:ascii="Arial" w:hAnsi="Arial"/>
          <w:color w:val="20201F"/>
          <w:sz w:val="24"/>
          <w:szCs w:val="24"/>
        </w:rPr>
        <w:t xml:space="preserve">la </w:t>
      </w:r>
      <w:r>
        <w:rPr>
          <w:rFonts w:cs="Arial" w:ascii="Arial" w:hAnsi="Arial"/>
          <w:color w:val="313130"/>
          <w:sz w:val="24"/>
          <w:szCs w:val="24"/>
        </w:rPr>
        <w:t xml:space="preserve">supervivencia </w:t>
      </w:r>
      <w:r>
        <w:rPr>
          <w:rFonts w:cs="Arial" w:ascii="Arial" w:hAnsi="Arial"/>
          <w:color w:val="20201F"/>
          <w:sz w:val="24"/>
          <w:szCs w:val="24"/>
        </w:rPr>
        <w:t xml:space="preserve">específica de cáncer están relacionadas de manera </w:t>
      </w:r>
      <w:r>
        <w:rPr>
          <w:rFonts w:cs="Arial" w:ascii="Arial" w:hAnsi="Arial"/>
          <w:color w:val="313130"/>
          <w:sz w:val="24"/>
          <w:szCs w:val="24"/>
        </w:rPr>
        <w:t xml:space="preserve">inversa </w:t>
      </w:r>
      <w:r>
        <w:rPr>
          <w:rFonts w:cs="Arial" w:ascii="Arial" w:hAnsi="Arial"/>
          <w:color w:val="20201F"/>
          <w:sz w:val="24"/>
          <w:szCs w:val="24"/>
        </w:rPr>
        <w:t>con el</w:t>
      </w:r>
      <w:r>
        <w:rPr>
          <w:rFonts w:cs="Arial" w:ascii="Arial" w:hAnsi="Arial"/>
          <w:color w:val="313130"/>
          <w:sz w:val="24"/>
          <w:szCs w:val="24"/>
        </w:rPr>
        <w:t xml:space="preserve"> </w:t>
      </w:r>
      <w:r>
        <w:rPr>
          <w:rFonts w:cs="Arial" w:ascii="Arial" w:hAnsi="Arial"/>
          <w:color w:val="20201F"/>
          <w:sz w:val="24"/>
          <w:szCs w:val="24"/>
        </w:rPr>
        <w:t>estadio patológico de la enfermedad.</w:t>
      </w:r>
    </w:p>
    <w:p>
      <w:pPr>
        <w:pStyle w:val="Normal"/>
        <w:spacing w:lineRule="auto" w:line="276" w:before="0" w:after="0"/>
        <w:jc w:val="both"/>
        <w:rPr>
          <w:rFonts w:ascii="Arial" w:hAnsi="Arial" w:cs="Arial"/>
          <w:color w:val="20201F"/>
          <w:sz w:val="24"/>
          <w:szCs w:val="24"/>
        </w:rPr>
      </w:pPr>
      <w:r>
        <w:rPr>
          <w:rFonts w:cs="Arial" w:ascii="Arial" w:hAnsi="Arial"/>
          <w:color w:val="20201F"/>
          <w:sz w:val="24"/>
          <w:szCs w:val="24"/>
        </w:rPr>
        <w:t xml:space="preserve">• </w:t>
      </w:r>
      <w:r>
        <w:rPr>
          <w:rFonts w:cs="Arial" w:ascii="Arial" w:hAnsi="Arial"/>
          <w:color w:val="20201F"/>
          <w:sz w:val="24"/>
          <w:szCs w:val="24"/>
        </w:rPr>
        <w:t>Los criterios anatomopatológicos más</w:t>
      </w:r>
      <w:r>
        <w:rPr>
          <w:rFonts w:cs="Arial" w:ascii="Arial" w:hAnsi="Arial"/>
          <w:color w:val="9A9F7A"/>
          <w:sz w:val="24"/>
          <w:szCs w:val="24"/>
        </w:rPr>
        <w:t xml:space="preserve"> </w:t>
      </w:r>
      <w:r>
        <w:rPr>
          <w:rFonts w:cs="Arial" w:ascii="Arial" w:hAnsi="Arial"/>
          <w:color w:val="20201F"/>
          <w:sz w:val="24"/>
          <w:szCs w:val="24"/>
        </w:rPr>
        <w:t xml:space="preserve">importantes, que predicen el pronóstico después de la prostatectomía radical, son el grado del tumor, el estado de los márgenes quirúrgicos, la presencia de enfermedad extracapsular, la invasión de las vesículas </w:t>
      </w:r>
      <w:r>
        <w:rPr>
          <w:rFonts w:cs="Arial" w:ascii="Arial" w:hAnsi="Arial"/>
          <w:color w:val="313130"/>
          <w:sz w:val="24"/>
          <w:szCs w:val="24"/>
        </w:rPr>
        <w:t xml:space="preserve">seminales y </w:t>
      </w:r>
      <w:r>
        <w:rPr>
          <w:rFonts w:cs="Arial" w:ascii="Arial" w:hAnsi="Arial"/>
          <w:color w:val="20201F"/>
          <w:sz w:val="24"/>
          <w:szCs w:val="24"/>
        </w:rPr>
        <w:t xml:space="preserve">el </w:t>
      </w:r>
      <w:r>
        <w:rPr>
          <w:rFonts w:cs="Arial" w:ascii="Arial" w:hAnsi="Arial"/>
          <w:color w:val="313130"/>
          <w:sz w:val="24"/>
          <w:szCs w:val="24"/>
        </w:rPr>
        <w:t xml:space="preserve">compromiso </w:t>
      </w:r>
      <w:r>
        <w:rPr>
          <w:rFonts w:cs="Arial" w:ascii="Arial" w:hAnsi="Arial"/>
          <w:color w:val="20201F"/>
          <w:sz w:val="24"/>
          <w:szCs w:val="24"/>
        </w:rPr>
        <w:t>de ganglios linfáticos pelvianos.</w:t>
      </w:r>
    </w:p>
    <w:p>
      <w:pPr>
        <w:pStyle w:val="Normal"/>
        <w:tabs>
          <w:tab w:val="clear" w:pos="708"/>
          <w:tab w:val="left" w:pos="6165" w:leader="none"/>
        </w:tabs>
        <w:spacing w:lineRule="auto" w:line="276"/>
        <w:jc w:val="both"/>
        <w:rPr>
          <w:rFonts w:ascii="Arial" w:hAnsi="Arial" w:cs="Arial"/>
          <w:color w:val="20201F"/>
          <w:sz w:val="24"/>
          <w:szCs w:val="24"/>
        </w:rPr>
      </w:pPr>
      <w:r>
        <w:rPr>
          <w:rFonts w:cs="Arial" w:ascii="Arial" w:hAnsi="Arial"/>
          <w:color w:val="20201F"/>
          <w:sz w:val="24"/>
          <w:szCs w:val="24"/>
        </w:rPr>
        <w:t xml:space="preserve">• </w:t>
      </w:r>
      <w:r>
        <w:rPr>
          <w:rFonts w:cs="Arial" w:ascii="Arial" w:hAnsi="Arial"/>
          <w:color w:val="20201F"/>
          <w:sz w:val="24"/>
          <w:szCs w:val="24"/>
        </w:rPr>
        <w:t>El sistema de clasificación de Gleason es el esquema utilizado con mayor frecuencia para la gradación histológica del cáncer de próstata.</w:t>
      </w:r>
    </w:p>
    <w:p>
      <w:pPr>
        <w:pStyle w:val="Normal"/>
        <w:tabs>
          <w:tab w:val="clear" w:pos="708"/>
          <w:tab w:val="left" w:pos="6165" w:leader="none"/>
        </w:tabs>
        <w:spacing w:lineRule="auto" w:line="276"/>
        <w:jc w:val="both"/>
        <w:rPr>
          <w:rFonts w:ascii="Arial" w:hAnsi="Arial" w:cs="Arial"/>
          <w:b/>
          <w:sz w:val="24"/>
          <w:szCs w:val="24"/>
          <w:u w:val="single"/>
        </w:rPr>
      </w:pPr>
      <w:r>
        <w:rPr>
          <w:rFonts w:cs="Arial" w:ascii="Arial" w:hAnsi="Arial"/>
          <w:b/>
          <w:sz w:val="24"/>
          <w:szCs w:val="24"/>
          <w:u w:val="single"/>
        </w:rPr>
        <w:t xml:space="preserve">CASO CLINICO </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Paciente GLF, masculino, de 75 años de edad, raza blanca, acude a consulta acude a la consulta de urología en el policlínico Turcios Lima, ubicado en el municipio 1º de octubre el 22/8/2022 refiriendo dificultad para orinar dado por urgencia miccional, polaquiuria, nicturia (5 veces noche), y sensación de vaciamiento incompleto.</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APP: HTA (tratamiento enalapril mas hidroclotizona)</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Hábitos Tóxicos:</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Antecedentes de operaciones:</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Antecedentes de transfusiones:</w:t>
      </w:r>
    </w:p>
    <w:p>
      <w:pPr>
        <w:pStyle w:val="Normal"/>
        <w:tabs>
          <w:tab w:val="clear" w:pos="708"/>
          <w:tab w:val="left" w:pos="6165" w:leader="none"/>
        </w:tabs>
        <w:spacing w:lineRule="auto" w:line="276"/>
        <w:jc w:val="both"/>
        <w:rPr>
          <w:rFonts w:ascii="Arial" w:hAnsi="Arial" w:cs="Arial"/>
          <w:b/>
          <w:sz w:val="24"/>
          <w:szCs w:val="24"/>
          <w:u w:val="single"/>
        </w:rPr>
      </w:pPr>
      <w:r>
        <w:rPr>
          <w:rFonts w:cs="Arial" w:ascii="Arial" w:hAnsi="Arial"/>
          <w:b/>
          <w:sz w:val="24"/>
          <w:szCs w:val="24"/>
          <w:u w:val="single"/>
        </w:rPr>
        <w:t>Examen físico</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Mucosas: húmedas y normo coloreadas </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Abdomen: negativo </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Tacto rectal:  próstata aumentada de tamaño G I – II a predominio del lóbulo derecho donde se palpa Nódulo duro, consistencia aumentada, superficie irregular y bordes mal delimitados. </w:t>
      </w:r>
    </w:p>
    <w:p>
      <w:pPr>
        <w:pStyle w:val="Normal"/>
        <w:tabs>
          <w:tab w:val="clear" w:pos="708"/>
          <w:tab w:val="left" w:pos="6165" w:leader="none"/>
        </w:tabs>
        <w:spacing w:lineRule="auto" w:line="276"/>
        <w:jc w:val="both"/>
        <w:rPr>
          <w:rFonts w:ascii="Arial" w:hAnsi="Arial" w:cs="Arial"/>
          <w:b/>
          <w:sz w:val="24"/>
          <w:szCs w:val="24"/>
          <w:u w:val="single"/>
        </w:rPr>
      </w:pPr>
      <w:r>
        <w:rPr>
          <w:rFonts w:cs="Arial" w:ascii="Arial" w:hAnsi="Arial"/>
          <w:b/>
          <w:sz w:val="24"/>
          <w:szCs w:val="24"/>
          <w:u w:val="single"/>
        </w:rPr>
        <w:t>COMPLEMENTARIOS DE LABORATORIO</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b/>
          <w:sz w:val="24"/>
          <w:szCs w:val="24"/>
        </w:rPr>
        <w:t>PSA</w:t>
      </w:r>
      <w:r>
        <w:rPr>
          <w:rFonts w:cs="Arial" w:ascii="Arial" w:hAnsi="Arial"/>
          <w:sz w:val="24"/>
          <w:szCs w:val="24"/>
        </w:rPr>
        <w:t>: 18 ng/ dl (mayo 2022)</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          </w:t>
      </w:r>
      <w:r>
        <w:rPr>
          <w:rFonts w:cs="Arial" w:ascii="Arial" w:hAnsi="Arial"/>
          <w:sz w:val="24"/>
          <w:szCs w:val="24"/>
        </w:rPr>
        <w:t>28.53 ng/ dl (julio 2022)</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          </w:t>
      </w:r>
      <w:r>
        <w:rPr>
          <w:rFonts w:cs="Arial" w:ascii="Arial" w:hAnsi="Arial"/>
          <w:sz w:val="24"/>
          <w:szCs w:val="24"/>
        </w:rPr>
        <w:t>23.22 ng/ dl (agosto 2022)</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Se le indicaron otros estudios para chequeo preoperatorio con fines de realizarlo biopsia prostática y para estadiamiento.</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Hb:11.9 g/L</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Eritrosedimentacion: 63 mm/l</w:t>
      </w:r>
    </w:p>
    <w:p>
      <w:pPr>
        <w:pStyle w:val="Normal"/>
        <w:tabs>
          <w:tab w:val="clear" w:pos="708"/>
          <w:tab w:val="left" w:pos="6165" w:leader="none"/>
        </w:tabs>
        <w:spacing w:lineRule="auto" w:line="276"/>
        <w:jc w:val="both"/>
        <w:rPr>
          <w:rFonts w:ascii="Arial" w:hAnsi="Arial" w:cs="Arial"/>
          <w:b/>
          <w:sz w:val="24"/>
          <w:szCs w:val="24"/>
          <w:u w:val="single"/>
        </w:rPr>
      </w:pPr>
      <w:r>
        <w:rPr>
          <w:rFonts w:cs="Arial" w:ascii="Arial" w:hAnsi="Arial"/>
          <w:b/>
          <w:sz w:val="24"/>
          <w:szCs w:val="24"/>
          <w:u w:val="single"/>
        </w:rPr>
        <w:t>Coagulograma completo</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TS: 1 min.</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TC: 9 min. </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Coagulo retráctil </w:t>
      </w:r>
    </w:p>
    <w:p>
      <w:pPr>
        <w:pStyle w:val="Normal"/>
        <w:tabs>
          <w:tab w:val="clear" w:pos="708"/>
          <w:tab w:val="left" w:pos="6165" w:leader="none"/>
        </w:tabs>
        <w:spacing w:lineRule="auto" w:line="276"/>
        <w:jc w:val="both"/>
        <w:rPr>
          <w:rFonts w:ascii="Arial" w:hAnsi="Arial" w:cs="Arial"/>
          <w:b/>
          <w:sz w:val="24"/>
          <w:szCs w:val="24"/>
          <w:u w:val="single"/>
        </w:rPr>
      </w:pPr>
      <w:r>
        <w:rPr>
          <w:rFonts w:cs="Arial" w:ascii="Arial" w:hAnsi="Arial"/>
          <w:b/>
          <w:sz w:val="24"/>
          <w:szCs w:val="24"/>
          <w:u w:val="single"/>
        </w:rPr>
        <w:t xml:space="preserve">Hemoquímica </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Glicemia: 5.6 mmol / L</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Urea: 6.3 mmol / L</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Creatinina: 140 mmol / L</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TGP: 14 U/L</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TGO: 16 U/L </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Fosfatasa alcalina: 140 U/L</w:t>
      </w:r>
    </w:p>
    <w:p>
      <w:pPr>
        <w:pStyle w:val="Normal"/>
        <w:tabs>
          <w:tab w:val="clear" w:pos="708"/>
          <w:tab w:val="left" w:pos="6165" w:leader="none"/>
        </w:tabs>
        <w:spacing w:lineRule="auto" w:line="276"/>
        <w:jc w:val="both"/>
        <w:rPr>
          <w:rFonts w:ascii="Arial" w:hAnsi="Arial" w:cs="Arial"/>
          <w:b/>
          <w:sz w:val="24"/>
          <w:szCs w:val="24"/>
          <w:u w:val="single"/>
        </w:rPr>
      </w:pPr>
      <w:r>
        <w:rPr>
          <w:rFonts w:cs="Arial" w:ascii="Arial" w:hAnsi="Arial"/>
          <w:b/>
          <w:sz w:val="24"/>
          <w:szCs w:val="24"/>
          <w:u w:val="single"/>
        </w:rPr>
        <w:t>ULTRASONIDO RENAL VESICO PROSTATICO</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RD: 115X 53 parénquima 14 mm</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RI: 104 X 42 parénquima 14 mm</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Ambos riñones con dilatación ureteropielocalicial </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Vejiga: de paredes finas con volumen de 973 cm</w:t>
      </w:r>
      <w:r>
        <w:rPr>
          <w:rFonts w:cs="Arial" w:ascii="Arial" w:hAnsi="Arial"/>
          <w:sz w:val="24"/>
          <w:szCs w:val="24"/>
          <w:vertAlign w:val="superscript"/>
        </w:rPr>
        <w:t xml:space="preserve">3 </w:t>
      </w:r>
      <w:r>
        <w:rPr>
          <w:rFonts w:cs="Arial" w:ascii="Arial" w:hAnsi="Arial"/>
          <w:sz w:val="24"/>
          <w:szCs w:val="24"/>
        </w:rPr>
        <w:t>y post miccional 813 cm</w:t>
      </w:r>
      <w:r>
        <w:rPr>
          <w:rFonts w:cs="Arial" w:ascii="Arial" w:hAnsi="Arial"/>
          <w:sz w:val="24"/>
          <w:szCs w:val="24"/>
          <w:vertAlign w:val="superscript"/>
        </w:rPr>
        <w:t>3</w:t>
      </w:r>
      <w:r>
        <w:rPr>
          <w:rFonts w:cs="Arial" w:ascii="Arial" w:hAnsi="Arial"/>
          <w:sz w:val="24"/>
          <w:szCs w:val="24"/>
        </w:rPr>
        <w:t xml:space="preserve"> próstata heterogénea que mide 40 x 48 con lóbulo medio que protruye el suelo vesical. </w:t>
      </w:r>
    </w:p>
    <w:p>
      <w:pPr>
        <w:pStyle w:val="Normal"/>
        <w:tabs>
          <w:tab w:val="clear" w:pos="708"/>
          <w:tab w:val="left" w:pos="6165" w:leader="none"/>
        </w:tabs>
        <w:spacing w:lineRule="auto" w:line="276"/>
        <w:jc w:val="both"/>
        <w:rPr>
          <w:rFonts w:ascii="Arial" w:hAnsi="Arial" w:cs="Arial"/>
          <w:b/>
          <w:sz w:val="24"/>
          <w:szCs w:val="24"/>
          <w:u w:val="single"/>
        </w:rPr>
      </w:pPr>
      <w:r>
        <w:rPr>
          <w:rFonts w:cs="Arial" w:ascii="Arial" w:hAnsi="Arial"/>
          <w:b/>
          <w:sz w:val="24"/>
          <w:szCs w:val="24"/>
          <w:u w:val="single"/>
        </w:rPr>
        <w:t>RX DE TORAX</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Índice cardiotorácico normal, no lesiones pleuropulmonares </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Ultrasonido abdominal </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Hígado de superficie lisa, ecogenicidad conservada no lesión focal ni dilatación de vías biliares, bazo y páncreas normales, no adenopatías intraabdominales, aorta de calibre normal.</w:t>
      </w:r>
    </w:p>
    <w:p>
      <w:pPr>
        <w:pStyle w:val="Normal"/>
        <w:tabs>
          <w:tab w:val="clear" w:pos="708"/>
          <w:tab w:val="left" w:pos="6165" w:leader="none"/>
        </w:tabs>
        <w:spacing w:lineRule="auto" w:line="276"/>
        <w:jc w:val="both"/>
        <w:rPr>
          <w:rFonts w:ascii="Arial" w:hAnsi="Arial" w:cs="Arial"/>
          <w:b/>
          <w:sz w:val="24"/>
          <w:szCs w:val="24"/>
          <w:u w:val="single"/>
        </w:rPr>
      </w:pPr>
      <w:r>
        <w:rPr>
          <w:rFonts w:cs="Arial" w:ascii="Arial" w:hAnsi="Arial"/>
          <w:b/>
          <w:sz w:val="24"/>
          <w:szCs w:val="24"/>
          <w:u w:val="single"/>
        </w:rPr>
        <w:t>SURVEY OSEO</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Con cambios degenerativos a nivel de la columna cervical y dorsal rodilla pelvis y estrechamiento de los espacios L1, L2, L3, L4 con cambios degenerativos, no lesiones metastásicas.</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Por la intensidad de los síntomas de prostatismo (irritativos), gran residuo vesical post-miccional (más de 800ml), valores de la creatinina elevada y ureterohidronefrosis, se le coloca sonda vesical permanente y tratamiento con alfa-bloqueadores (tamsulosina 1 tableta / día)</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Se completo estudio para realizarlo la biopsia de próstata el 6 de octubre del 20022.</w:t>
      </w:r>
    </w:p>
    <w:p>
      <w:pPr>
        <w:pStyle w:val="Normal"/>
        <w:tabs>
          <w:tab w:val="clear" w:pos="708"/>
          <w:tab w:val="left" w:pos="6165" w:leader="none"/>
        </w:tabs>
        <w:spacing w:lineRule="auto" w:line="276"/>
        <w:jc w:val="both"/>
        <w:rPr>
          <w:rFonts w:ascii="Arial" w:hAnsi="Arial" w:cs="Arial"/>
          <w:b/>
          <w:sz w:val="24"/>
          <w:szCs w:val="24"/>
          <w:u w:val="single"/>
        </w:rPr>
      </w:pPr>
      <w:r>
        <w:rPr>
          <w:rFonts w:cs="Arial" w:ascii="Arial" w:hAnsi="Arial"/>
          <w:b/>
          <w:sz w:val="24"/>
          <w:szCs w:val="24"/>
          <w:u w:val="single"/>
        </w:rPr>
        <w:t>RESULTADO DE BIOPSIA PROSTATICA</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Biopsias de próstata (811- 812) adenocarcinoma prostático con Gleason 3+3 = 9 con grado grupo I.</w:t>
      </w:r>
    </w:p>
    <w:p>
      <w:pPr>
        <w:pStyle w:val="Normal"/>
        <w:tabs>
          <w:tab w:val="clear" w:pos="708"/>
          <w:tab w:val="left" w:pos="6165" w:leader="none"/>
        </w:tabs>
        <w:spacing w:lineRule="auto" w:line="276"/>
        <w:jc w:val="both"/>
        <w:rPr>
          <w:rFonts w:ascii="Arial" w:hAnsi="Arial" w:cs="Arial"/>
          <w:b/>
          <w:sz w:val="24"/>
          <w:szCs w:val="24"/>
          <w:u w:val="single"/>
        </w:rPr>
      </w:pPr>
      <w:r>
        <w:rPr>
          <w:rFonts w:cs="Arial" w:ascii="Arial" w:hAnsi="Arial"/>
          <w:b/>
          <w:sz w:val="24"/>
          <w:szCs w:val="24"/>
          <w:u w:val="single"/>
        </w:rPr>
        <w:t xml:space="preserve">TRATAMIENTO QUIRURGICO </w:t>
      </w:r>
    </w:p>
    <w:p>
      <w:pPr>
        <w:pStyle w:val="Normal"/>
        <w:tabs>
          <w:tab w:val="clear" w:pos="708"/>
          <w:tab w:val="left" w:pos="6165" w:leader="none"/>
        </w:tabs>
        <w:spacing w:lineRule="auto" w:line="276"/>
        <w:jc w:val="both"/>
        <w:rPr>
          <w:rFonts w:ascii="Arial" w:hAnsi="Arial" w:cs="Arial"/>
          <w:b/>
          <w:sz w:val="24"/>
          <w:szCs w:val="24"/>
          <w:u w:val="single"/>
        </w:rPr>
      </w:pPr>
      <w:r>
        <w:rPr>
          <w:rFonts w:cs="Arial" w:ascii="Arial" w:hAnsi="Arial"/>
          <w:b/>
          <w:sz w:val="24"/>
          <w:szCs w:val="24"/>
          <w:u w:val="single"/>
        </w:rPr>
        <w:t>Castración quirúrgica</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Se discutió con equipo de trabajo urológico y comité oncológica del centro y se decide realizar vaciamiento subalbuginia bilateral. </w:t>
      </w:r>
    </w:p>
    <w:p>
      <w:pPr>
        <w:pStyle w:val="Normal"/>
        <w:tabs>
          <w:tab w:val="clear" w:pos="708"/>
          <w:tab w:val="left" w:pos="6165" w:leader="none"/>
        </w:tabs>
        <w:spacing w:lineRule="auto" w:line="276"/>
        <w:jc w:val="both"/>
        <w:rPr>
          <w:rFonts w:ascii="Arial" w:hAnsi="Arial" w:cs="Arial"/>
          <w:b/>
          <w:sz w:val="24"/>
          <w:szCs w:val="24"/>
          <w:u w:val="single"/>
        </w:rPr>
      </w:pPr>
      <w:r>
        <w:rPr>
          <w:rFonts w:cs="Arial" w:ascii="Arial" w:hAnsi="Arial"/>
          <w:b/>
          <w:sz w:val="24"/>
          <w:szCs w:val="24"/>
          <w:u w:val="single"/>
        </w:rPr>
        <w:t>EVOLUCION Y SEGUIMIETO</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Enero 2025 evolución favorable </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Se logra retirar la sonda con micción espontanea en marzo del 2023</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En el año 2024 se mantiene buen estado general y micción espontanea </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Hb: 12,3 g/l</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PSA: 1 ng/ dl</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Urocultivo: negativo </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Ultrasonido reno-vesico-prostático: residuo post-miccional en 26ml</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Suprimimos el tratamiento con alfa-bloquiadores </w:t>
      </w:r>
    </w:p>
    <w:p>
      <w:pPr>
        <w:pStyle w:val="Normal"/>
        <w:tabs>
          <w:tab w:val="clear" w:pos="708"/>
          <w:tab w:val="left" w:pos="6165" w:leader="none"/>
        </w:tabs>
        <w:spacing w:lineRule="auto" w:line="276"/>
        <w:jc w:val="both"/>
        <w:rPr>
          <w:rFonts w:ascii="Arial" w:hAnsi="Arial" w:cs="Arial"/>
          <w:sz w:val="24"/>
          <w:szCs w:val="24"/>
        </w:rPr>
      </w:pPr>
      <w:r>
        <w:rPr>
          <w:rFonts w:cs="Arial" w:ascii="Arial" w:hAnsi="Arial"/>
          <w:sz w:val="24"/>
          <w:szCs w:val="24"/>
        </w:rPr>
        <w:t xml:space="preserve">Re consulta el 2025. </w:t>
      </w:r>
    </w:p>
    <w:p>
      <w:pPr>
        <w:pStyle w:val="Normal"/>
        <w:tabs>
          <w:tab w:val="clear" w:pos="708"/>
          <w:tab w:val="left" w:pos="6165" w:leader="none"/>
        </w:tabs>
        <w:spacing w:lineRule="auto" w:line="276"/>
        <w:jc w:val="both"/>
        <w:rPr>
          <w:rFonts w:ascii="Arial" w:hAnsi="Arial" w:cs="Arial"/>
          <w:b/>
          <w:sz w:val="24"/>
          <w:szCs w:val="24"/>
          <w:u w:val="single"/>
        </w:rPr>
      </w:pPr>
      <w:r>
        <w:rPr>
          <w:rFonts w:cs="Arial" w:ascii="Arial" w:hAnsi="Arial"/>
          <w:b/>
          <w:sz w:val="24"/>
          <w:szCs w:val="24"/>
          <w:u w:val="single"/>
        </w:rPr>
        <w:t xml:space="preserve">REFERENCIAS BIBLIOGRAFICAS </w:t>
      </w:r>
    </w:p>
    <w:p>
      <w:pPr>
        <w:pStyle w:val="Normal"/>
        <w:tabs>
          <w:tab w:val="clear" w:pos="708"/>
          <w:tab w:val="left" w:pos="6165" w:leader="none"/>
        </w:tabs>
        <w:spacing w:lineRule="auto" w:line="276"/>
        <w:jc w:val="both"/>
        <w:rPr>
          <w:rFonts w:ascii="Arial" w:hAnsi="Arial" w:eastAsia="Arial" w:cs="Arial"/>
          <w:sz w:val="24"/>
          <w:szCs w:val="24"/>
        </w:rPr>
      </w:pPr>
      <w:r>
        <w:rPr>
          <w:rFonts w:eastAsia="Arial" w:cs="Arial" w:ascii="Arial" w:hAnsi="Arial"/>
          <w:sz w:val="24"/>
          <w:szCs w:val="24"/>
        </w:rPr>
        <w:t>1.- Stenman UH, Leinonen J, Zhang WM, Finne P. Prostate-specific antigen. Sem Cancer Biol. 1999;85-95.</w:t>
      </w:r>
    </w:p>
    <w:p>
      <w:pPr>
        <w:pStyle w:val="Normal"/>
        <w:spacing w:lineRule="auto" w:line="235" w:before="0" w:after="113"/>
        <w:rPr/>
      </w:pPr>
      <w:r>
        <w:rPr>
          <w:rFonts w:eastAsia="Arial" w:cs="Arial" w:ascii="Arial" w:hAnsi="Arial"/>
          <w:sz w:val="24"/>
          <w:szCs w:val="24"/>
        </w:rPr>
        <w:t>2.- Aus G, Abbou CC, Bolla M, Heidenreich A, Schmid HP, Van Poppel H, et al. EAU Guidelines on Prostate Cancer. Eur Urol. 2005;48:54651.</w:t>
      </w:r>
    </w:p>
    <w:p>
      <w:pPr>
        <w:pStyle w:val="Normal"/>
        <w:tabs>
          <w:tab w:val="clear" w:pos="708"/>
          <w:tab w:val="left" w:pos="6165" w:leader="none"/>
        </w:tabs>
        <w:spacing w:lineRule="auto" w:line="276" w:before="0" w:after="160"/>
        <w:jc w:val="both"/>
        <w:rPr>
          <w:rFonts w:ascii="Arial" w:hAnsi="Arial" w:cs="Arial"/>
          <w:sz w:val="24"/>
          <w:szCs w:val="24"/>
        </w:rPr>
      </w:pPr>
      <w:r>
        <w:rPr>
          <w:rFonts w:cs="Arial" w:ascii="Arial" w:hAnsi="Arial"/>
          <w:sz w:val="24"/>
          <w:szCs w:val="24"/>
        </w:rPr>
      </w:r>
    </w:p>
    <w:sectPr>
      <w:type w:val="nextPage"/>
      <w:pgSz w:w="11906" w:h="16838"/>
      <w:pgMar w:left="1701" w:right="1701"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Arial">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宋体"/>
        <w:sz w:val="22"/>
        <w:szCs w:val="22"/>
        <w:lang w:val="es-ES" w:eastAsia="en-US" w:bidi="ar-SA"/>
      </w:rPr>
    </w:rPrDefault>
    <w:pPrDefault>
      <w:pPr>
        <w:suppressAutoHyphens w:val="true"/>
      </w:pPr>
    </w:pPrDefault>
  </w:docDefaults>
  <w:style w:type="paragraph" w:styleId="Normal" w:default="1">
    <w:name w:val="Normal"/>
    <w:qFormat/>
    <w:pPr>
      <w:widowControl/>
      <w:bidi w:val="0"/>
      <w:spacing w:lineRule="auto" w:line="259" w:before="0" w:after="160"/>
      <w:jc w:val="left"/>
    </w:pPr>
    <w:rPr>
      <w:rFonts w:ascii="Calibri" w:hAnsi="Calibri" w:eastAsia="Calibri" w:cs="宋体"/>
      <w:color w:val="auto"/>
      <w:kern w:val="0"/>
      <w:sz w:val="22"/>
      <w:szCs w:val="22"/>
      <w:lang w:val="es-ES" w:eastAsia="en-US" w:bidi="ar-SA"/>
    </w:rPr>
  </w:style>
  <w:style w:type="character" w:styleId="DefaultParagraphFont" w:default="1">
    <w:name w:val="Default Paragraph Font"/>
    <w:uiPriority w:val="1"/>
    <w:qFormat/>
    <w:rPr/>
  </w:style>
  <w:style w:type="character" w:styleId="Hyperlink">
    <w:name w:val="Hyperlink"/>
    <w:basedOn w:val="DefaultParagraphFont"/>
    <w:uiPriority w:val="99"/>
    <w:rPr>
      <w:color w:val="0563C1"/>
      <w:u w:val="single"/>
    </w:rPr>
  </w:style>
  <w:style w:type="character" w:styleId="UnresolvedMention" w:customStyle="1">
    <w:name w:val="Unresolved Mention"/>
    <w:basedOn w:val="DefaultParagraphFont"/>
    <w:uiPriority w:val="99"/>
    <w:qFormat/>
    <w:rPr>
      <w:color w:val="605E5C"/>
      <w:shd w:fill="E1DFDD" w:val="clear"/>
    </w:rPr>
  </w:style>
  <w:style w:type="character" w:styleId="EncabezadoCar" w:customStyle="1">
    <w:name w:val="Encabezado Car"/>
    <w:basedOn w:val="DefaultParagraphFont"/>
    <w:uiPriority w:val="99"/>
    <w:qFormat/>
    <w:rPr/>
  </w:style>
  <w:style w:type="character" w:styleId="PiedepginaCar" w:customStyle="1">
    <w:name w:val="Pie de página Car"/>
    <w:basedOn w:val="DefaultParagraphFont"/>
    <w:uiPriority w:val="99"/>
    <w:qFormat/>
    <w:rPr/>
  </w:style>
  <w:style w:type="paragraph" w:styleId="Ttulo">
    <w:name w:val="Título"/>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Lohit Devanagari"/>
    </w:rPr>
  </w:style>
  <w:style w:type="paragraph" w:styleId="Cabeceraypie">
    <w:name w:val="Cabecera y pie"/>
    <w:basedOn w:val="Normal"/>
    <w:qFormat/>
    <w:pPr/>
    <w:rPr/>
  </w:style>
  <w:style w:type="paragraph" w:styleId="Header">
    <w:name w:val="Header"/>
    <w:basedOn w:val="Normal"/>
    <w:link w:val="EncabezadoCar"/>
    <w:uiPriority w:val="99"/>
    <w:pPr>
      <w:tabs>
        <w:tab w:val="clear" w:pos="708"/>
        <w:tab w:val="center" w:pos="4252" w:leader="none"/>
        <w:tab w:val="right" w:pos="8504" w:leader="none"/>
      </w:tabs>
      <w:spacing w:lineRule="auto" w:line="240" w:before="0" w:after="0"/>
    </w:pPr>
    <w:rPr/>
  </w:style>
  <w:style w:type="paragraph" w:styleId="Footer">
    <w:name w:val="Footer"/>
    <w:basedOn w:val="Normal"/>
    <w:link w:val="PiedepginaCar"/>
    <w:uiPriority w:val="99"/>
    <w:pPr>
      <w:tabs>
        <w:tab w:val="clear" w:pos="708"/>
        <w:tab w:val="center" w:pos="4252" w:leader="none"/>
        <w:tab w:val="right" w:pos="8504" w:leader="none"/>
      </w:tabs>
      <w:spacing w:lineRule="auto" w:line="240" w:before="0" w:after="0"/>
    </w:pPr>
    <w:rPr/>
  </w:style>
  <w:style w:type="numbering" w:styleId="NoList" w:default="1">
    <w:name w:val="No List"/>
    <w:uiPriority w:val="99"/>
    <w:qFormat/>
  </w:style>
  <w:style w:type="table" w:default="1" w:styleId="style105">
    <w:name w:val="Normal Table"/>
    <w:uiPriority w:val="99"/>
    <w:tblPr>
      <w:tblCellMar>
        <w:top w:w="0" w:type="dxa"/>
        <w:left w:w="108" w:type="dxa"/>
        <w:bottom w:w="0" w:type="dxa"/>
        <w:right w:w="108" w:type="dxa"/>
      </w:tblCellMar>
    </w:tblPr>
    <w:tc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F58D6-3BCF-4D21-B0D5-941A31EA3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Application>LibreOffice/7.6.7.2$Linux_X86_64 LibreOffice_project/60$Build-2</Application>
  <AppVersion>15.0000</AppVersion>
  <Pages>5</Pages>
  <Words>1171</Words>
  <Characters>6374</Characters>
  <CharactersWithSpaces>7513</CharactersWithSpaces>
  <Paragraphs>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2051-10-26T06:07:00Z</dcterms:created>
  <dc:creator>RONY-PC</dc:creator>
  <dc:description/>
  <dc:language>es-CU</dc:language>
  <cp:lastModifiedBy/>
  <dcterms:modified xsi:type="dcterms:W3CDTF">2026-10-15T11:42:55Z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41739487665b474891a55cef0a480760</vt:lpwstr>
  </property>
</Properties>
</file>