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2"/>
        </w:numPr>
        <w:ind w:left="360" w:hanging="360"/>
        <w:jc w:val="both"/>
        <w:rPr/>
      </w:pPr>
      <w:r>
        <w:rPr>
          <w:rFonts w:ascii="Arial" w:hAnsi="Arial"/>
          <w:b/>
          <w:lang w:val="pt-BR"/>
        </w:rPr>
        <w:t>Contenido</w:t>
      </w:r>
    </w:p>
    <w:p>
      <w:pPr>
        <w:pStyle w:val="Normal"/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</w:r>
    </w:p>
    <w:p>
      <w:pPr>
        <w:pStyle w:val="Normal"/>
        <w:numPr>
          <w:ilvl w:val="0"/>
          <w:numId w:val="4"/>
        </w:numPr>
        <w:spacing w:lineRule="auto" w:line="360"/>
        <w:jc w:val="both"/>
        <w:rPr/>
      </w:pPr>
      <w:r>
        <w:rPr>
          <w:rFonts w:ascii="Arial" w:hAnsi="Arial"/>
          <w:lang w:val="pt-BR"/>
        </w:rPr>
        <w:t xml:space="preserve">Familia Enterobacteriaceae. Características generales. Microorganismos típicos. Cultivo. Estructura antigénica. </w:t>
      </w:r>
      <w:r>
        <w:rPr>
          <w:rFonts w:ascii="Arial" w:hAnsi="Arial"/>
        </w:rPr>
        <w:t>Géneros y especies patógenas: Salmonella, Shigella y Escherichia coli: Diagnóstico de laboratorio. Patogenia. Epidemiología. Profilaxis y control. Salmonella typhi y fiebre tifoidea: diagnóstico. Epidemiología y control.</w:t>
      </w:r>
    </w:p>
    <w:p>
      <w:pPr>
        <w:pStyle w:val="Normal"/>
        <w:spacing w:lineRule="auto" w:line="360"/>
        <w:ind w:left="360" w:hanging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4"/>
        </w:numPr>
        <w:spacing w:lineRule="auto" w:line="360"/>
        <w:jc w:val="both"/>
        <w:rPr/>
      </w:pPr>
      <w:r>
        <w:rPr>
          <w:rFonts w:ascii="Arial" w:hAnsi="Arial"/>
        </w:rPr>
        <w:t>Familia Vibrionaceae: Características morfológicas. Vibrio cholerae 01 y biotipo El Tor. Serogrupo 0139. Patogenia. Diagnóstico de laboratorio. Epidemiología. Profilaxis y control. Género Aeromonas y  Plesiomonas. A. hydrophila y P. shigelloides. Morfología. Patogenia. Enfermedades que producen. Diagnóstico de laboratorio. Epidemiología.</w:t>
      </w:r>
    </w:p>
    <w:p>
      <w:pPr>
        <w:pStyle w:val="Normal"/>
        <w:spacing w:lineRule="auto" w:line="360"/>
        <w:ind w:left="360" w:hanging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4"/>
        </w:numPr>
        <w:spacing w:lineRule="auto" w:line="360"/>
        <w:jc w:val="both"/>
        <w:rPr/>
      </w:pPr>
      <w:r>
        <w:rPr>
          <w:rFonts w:ascii="Arial" w:hAnsi="Arial"/>
        </w:rPr>
        <w:t xml:space="preserve">Familia Campylobacteriaceae. Principales patógenos: géneros Campylobacter y Helicobacter. Morfología. Patogenia. Enfermedades que producen. Diagnóstico de laboratorio.  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1"/>
          <w:numId w:val="3"/>
        </w:numPr>
        <w:tabs>
          <w:tab w:val="left" w:pos="360" w:leader="none"/>
        </w:tabs>
        <w:ind w:left="0" w:hanging="0"/>
        <w:jc w:val="both"/>
        <w:rPr/>
      </w:pPr>
      <w:r>
        <w:rPr>
          <w:rFonts w:ascii="Arial" w:hAnsi="Arial"/>
          <w:b/>
        </w:rPr>
        <w:t>Objetivos.</w:t>
      </w:r>
    </w:p>
    <w:p>
      <w:pPr>
        <w:pStyle w:val="Normal"/>
        <w:tabs>
          <w:tab w:val="left" w:pos="360" w:leader="none"/>
        </w:tabs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Fonts w:ascii="Arial" w:hAnsi="Arial"/>
        </w:rPr>
        <w:t>Exponer las características generales de las familias y géneros microbianos incluidos en el Tema y las características particulares de las diferentes especies de mayor interés clínico.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Fonts w:ascii="Arial" w:hAnsi="Arial"/>
        </w:rPr>
        <w:t>Interpretar los aspectos fundamentales relacionados con la patogenia de estos microorganismos.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Fonts w:ascii="Arial" w:hAnsi="Arial"/>
        </w:rPr>
        <w:t>Describir los pasos fundamentales para establecer el diagnóstico de laboratorio de las especies patógenas incluidas en cada uno de los géneros estudiados.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Fonts w:ascii="Arial" w:hAnsi="Arial"/>
        </w:rPr>
        <w:t>Exponer los aspectos principales relacionados con la epidemiología, profilaxis y control de las enfermedades que producen cada uno de estos microorganismos.</w:t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ind w:left="360" w:hanging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5"/>
        </w:numPr>
        <w:tabs>
          <w:tab w:val="left" w:pos="360" w:leader="none"/>
        </w:tabs>
        <w:ind w:left="0" w:hanging="0"/>
        <w:jc w:val="both"/>
        <w:rPr/>
      </w:pPr>
      <w:r>
        <w:rPr>
          <w:rFonts w:ascii="Arial" w:hAnsi="Arial"/>
          <w:b/>
        </w:rPr>
        <w:t>Orientaciones metodológicas.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/>
        <w:jc w:val="both"/>
        <w:rPr/>
      </w:pPr>
      <w:r>
        <w:rPr>
          <w:rFonts w:ascii="Arial" w:hAnsi="Arial"/>
        </w:rPr>
        <w:t>El profesor señalará las principales clases de E. coli: enteropatógena, enterohemorrágica, enterotoxigénica, enteroinvasiva, enteroadherente y enteroagregativa relacionadas con infección en humanos, enfatizando en la relación directa de estos microorganismos con la producción de Infecciones Diarreicas Agudas (IDA) por diferentes mecanismos y orientará como establecer el diagnóstico de las mismas. Pondrá especial interés en la fiebre tifoidea y orientará el estudio individual sobre las manifestaciones intestinales y extraintestinales de la familia Enterobacteriaceae. Establecerá las bases para el diagnóstico fisiológico y antigénico de los miembros de esta familia.</w:t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/>
        <w:jc w:val="both"/>
        <w:rPr/>
      </w:pPr>
      <w:r>
        <w:rPr>
          <w:rFonts w:ascii="Arial" w:hAnsi="Arial"/>
        </w:rPr>
        <w:t>Abordará los aspectos de mayor interés en las diferente epidemias y pandemias producidas por el Vibrio cholerae, biotipo El Tor y serogrupo 0139. Orientará la toma de muestra y los pasos a seguir para el diagnóstico de laboratorio y orientará el estudio individual sobre la epidemiología, profilaxis y control.</w:t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/>
        <w:jc w:val="both"/>
        <w:rPr/>
      </w:pPr>
      <w:r>
        <w:rPr>
          <w:rFonts w:ascii="Arial" w:hAnsi="Arial"/>
        </w:rPr>
        <w:t>Explicará los aspectos básicos para establecer el diagnóstico de Campylobacter (temperatura de crecimiento, medios de cultivo empleados etc); Helicobacter (forma de obtención de la muestra, catalasa, ureasa y oxidasa).</w:t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/>
        <w:jc w:val="both"/>
        <w:rPr/>
      </w:pPr>
      <w:r>
        <w:rPr>
          <w:rFonts w:ascii="Arial" w:hAnsi="Arial"/>
        </w:rPr>
        <w:t>El tema Aeromonas y Plesiomonas será abordado en los aspectos fundamentales de su morfología, datos clínicos  y diagnóstico de laboratorio.</w:t>
      </w:r>
    </w:p>
    <w:p>
      <w:pPr>
        <w:pStyle w:val="Normal"/>
        <w:jc w:val="both"/>
        <w:rPr>
          <w:rFonts w:ascii="Arial" w:hAnsi="Arial"/>
          <w:b/>
          <w:b/>
          <w:lang w:val="pt-BR"/>
        </w:rPr>
      </w:pPr>
      <w:bookmarkStart w:id="0" w:name="_GoBack"/>
      <w:bookmarkStart w:id="1" w:name="_GoBack"/>
      <w:bookmarkEnd w:id="1"/>
      <w:r>
        <w:rPr>
          <w:rFonts w:ascii="Arial" w:hAnsi="Arial"/>
          <w:b/>
          <w:lang w:val="pt-BR"/>
        </w:rPr>
      </w:r>
    </w:p>
    <w:p>
      <w:pPr>
        <w:pStyle w:val="Normal"/>
        <w:jc w:val="both"/>
        <w:rPr>
          <w:rFonts w:ascii="Arial" w:hAnsi="Arial"/>
          <w:b/>
          <w:b/>
          <w:lang w:val="pt-BR"/>
        </w:rPr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LITERATURA DOCENTE BASICA Y 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     </w:t>
      </w:r>
      <w:r>
        <w:rPr>
          <w:rFonts w:cs="Arial" w:ascii="Arial" w:hAnsi="Arial"/>
          <w:b/>
        </w:rPr>
        <w:t>COMPLEMENTARIA</w:t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numPr>
          <w:ilvl w:val="0"/>
          <w:numId w:val="3"/>
        </w:numPr>
        <w:spacing w:lineRule="auto" w:line="360"/>
        <w:ind w:left="0" w:hanging="360"/>
        <w:jc w:val="both"/>
        <w:rPr>
          <w:rFonts w:ascii="Arial" w:hAnsi="Arial"/>
        </w:rPr>
      </w:pPr>
      <w:r>
        <w:rPr>
          <w:rFonts w:ascii="Arial" w:hAnsi="Arial"/>
        </w:rPr>
        <w:t>Microbiología y Parasitología Médicas. Alina Llop Hernández y otros. La Habana: Editorial de Ciencias Médicas, 2001</w:t>
      </w:r>
    </w:p>
    <w:p>
      <w:pPr>
        <w:pStyle w:val="Normal"/>
        <w:numPr>
          <w:ilvl w:val="0"/>
          <w:numId w:val="3"/>
        </w:numPr>
        <w:spacing w:lineRule="auto" w:line="360"/>
        <w:ind w:left="0" w:hanging="360"/>
        <w:jc w:val="both"/>
        <w:rPr>
          <w:rFonts w:ascii="Arial" w:hAnsi="Arial"/>
        </w:rPr>
      </w:pPr>
      <w:r>
        <w:rPr>
          <w:rFonts w:ascii="Arial" w:hAnsi="Arial"/>
        </w:rPr>
        <w:t>Microbiología y Parasitología Médica. Guía de Aprendizaje, Vol 1 CD-ROM. La Habana, CeDiSap. IPK, 2003</w:t>
      </w:r>
    </w:p>
    <w:p>
      <w:pPr>
        <w:pStyle w:val="Normal"/>
        <w:numPr>
          <w:ilvl w:val="0"/>
          <w:numId w:val="3"/>
        </w:numPr>
        <w:spacing w:lineRule="auto" w:line="360"/>
        <w:ind w:left="0" w:hanging="360"/>
        <w:jc w:val="both"/>
        <w:rPr>
          <w:rFonts w:ascii="Arial" w:hAnsi="Arial"/>
        </w:rPr>
      </w:pPr>
      <w:r>
        <w:rPr>
          <w:rFonts w:ascii="Arial" w:hAnsi="Arial"/>
        </w:rPr>
        <w:t>Microbiología Médica. E. Jawetz. JL Mellnick. E.A. Adelberg. 14 Ed. México. El Manual Moderno, 1992</w:t>
      </w:r>
    </w:p>
    <w:p>
      <w:pPr>
        <w:pStyle w:val="Normal"/>
        <w:numPr>
          <w:ilvl w:val="0"/>
          <w:numId w:val="3"/>
        </w:numPr>
        <w:spacing w:lineRule="auto" w:line="360"/>
        <w:ind w:left="0" w:hanging="360"/>
        <w:jc w:val="both"/>
        <w:rPr>
          <w:rFonts w:ascii="Arial" w:hAnsi="Arial"/>
        </w:rPr>
      </w:pPr>
      <w:r>
        <w:rPr>
          <w:rFonts w:ascii="Arial" w:hAnsi="Arial"/>
          <w:lang w:val="en-GB"/>
        </w:rPr>
        <w:t xml:space="preserve">Clinical and Pathogenic Microbiologic. BJ Howard et al. 2da Ed. </w:t>
      </w:r>
      <w:r>
        <w:rPr>
          <w:rFonts w:ascii="Arial" w:hAnsi="Arial"/>
        </w:rPr>
        <w:t>St Louis: Mosby, 1993</w:t>
      </w:r>
    </w:p>
    <w:p>
      <w:pPr>
        <w:pStyle w:val="Normal"/>
        <w:numPr>
          <w:ilvl w:val="0"/>
          <w:numId w:val="3"/>
        </w:numPr>
        <w:spacing w:lineRule="auto" w:line="360"/>
        <w:ind w:left="0" w:hanging="360"/>
        <w:jc w:val="both"/>
        <w:rPr>
          <w:rFonts w:ascii="Arial" w:hAnsi="Arial"/>
        </w:rPr>
      </w:pPr>
      <w:r>
        <w:rPr>
          <w:rFonts w:ascii="Arial" w:hAnsi="Arial"/>
        </w:rPr>
        <w:t>Manual de Técnicas Básicas para un laboratorio de Salud. Serie Paltex para técnicos medios y auxiliares, No. 2 Publicación Científica No. 439. OMS-OPS, 1983.</w:t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1417" w:top="1976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Wingdings">
    <w:charset w:val="02"/>
    <w:family w:val="auto"/>
    <w:pitch w:val="default"/>
  </w:font>
  <w:font w:name="Courier New">
    <w:charset w:val="01"/>
    <w:family w:val="modern"/>
    <w:pitch w:val="fixed"/>
  </w:font>
  <w:font w:name="OpenSymbol">
    <w:altName w:val="Arial Unicode MS"/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both"/>
      <w:rPr/>
    </w:pPr>
    <w:r>
      <w:rPr>
        <w:rFonts w:ascii="Arial" w:hAnsi="Arial"/>
        <w:b/>
        <w:lang w:val="pt-BR"/>
      </w:rPr>
      <w:t>Tema VIII. Bacilos entéricos gramnegativos.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c003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es-ES" w:val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Arial" w:hAnsi="Arial" w:eastAsia="Times New Roman" w:cs="Arial"/>
    </w:rPr>
  </w:style>
  <w:style w:type="character" w:styleId="ListLabel2">
    <w:name w:val="ListLabel 2"/>
    <w:qFormat/>
    <w:rPr>
      <w:rFonts w:eastAsia="Times New Roman" w:cs="Arial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Encabezamiento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25BD6-2856-41ED-A6DA-2D1678807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LibreOffice/5.1.4.2$Linux_X86_64 LibreOffice_project/10m0$Build-2</Application>
  <Pages>3</Pages>
  <Words>467</Words>
  <Characters>3041</Characters>
  <CharactersWithSpaces>3481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2020-03-23T20:00:00Z</dcterms:created>
  <dc:creator>Yainet Smith Palacios</dc:creator>
  <dc:description/>
  <dc:language>es-CU</dc:language>
  <cp:lastModifiedBy/>
  <dcterms:modified xsi:type="dcterms:W3CDTF">2020-03-25T00:29:27Z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