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11.png" ContentType="image/png"/>
  <Override PartName="/word/media/image4.png" ContentType="image/png"/>
  <Override PartName="/word/media/image3.png" ContentType="image/png"/>
  <Override PartName="/word/media/image2.png" ContentType="image/png"/>
  <Override PartName="/word/media/image1.png" ContentType="image/png"/>
  <Override PartName="/word/media/image5.png" ContentType="image/png"/>
  <Override PartName="/word/media/image6.png" ContentType="image/png"/>
  <Override PartName="/word/media/image7.png" ContentType="image/png"/>
  <Override PartName="/word/media/image8.png" ContentType="image/png"/>
  <Override PartName="/word/media/image10.png" ContentType="image/png"/>
  <Override PartName="/word/media/image9.png" ContentType="image/png"/>
  <Override PartName="/word/document.xml" ContentType="application/vnd.openxmlformats-officedocument.wordprocessingml.document.main+xml"/>
  <Override PartName="/word/numbering.xml" ContentType="application/vnd.openxmlformats-officedocument.wordprocessingml.numbering+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jc w:val="both"/>
        <w:rPr>
          <w:rFonts w:ascii="Arial" w:hAnsi="Arial" w:cs="Arial"/>
        </w:rPr>
      </w:pPr>
      <w:r>
        <w:rPr>
          <w:rFonts w:cs="Arial" w:ascii="Arial" w:hAnsi="Arial"/>
          <w:b/>
        </w:rPr>
        <w:t xml:space="preserve">ASIGNATURA: </w:t>
      </w:r>
      <w:r>
        <w:rPr>
          <w:rFonts w:cs="Arial" w:ascii="Arial" w:hAnsi="Arial"/>
        </w:rPr>
        <w:t>Citodiagnóstico</w:t>
      </w:r>
    </w:p>
    <w:p>
      <w:pPr>
        <w:pStyle w:val="Normal"/>
        <w:spacing w:lineRule="auto" w:line="360"/>
        <w:jc w:val="both"/>
        <w:rPr>
          <w:rFonts w:ascii="Arial" w:hAnsi="Arial" w:cs="Arial"/>
          <w:b/>
          <w:b/>
        </w:rPr>
      </w:pPr>
      <w:r>
        <w:rPr>
          <w:rFonts w:cs="Arial" w:ascii="Arial" w:hAnsi="Arial"/>
          <w:b/>
        </w:rPr>
        <w:t>Actividad docente # 15y16</w:t>
      </w:r>
    </w:p>
    <w:p>
      <w:pPr>
        <w:pStyle w:val="Normal"/>
        <w:jc w:val="both"/>
        <w:rPr>
          <w:rFonts w:ascii="Arial" w:hAnsi="Arial" w:cs="Arial"/>
          <w:b/>
          <w:b/>
        </w:rPr>
      </w:pPr>
      <w:r>
        <w:rPr>
          <w:rFonts w:cs="Arial" w:ascii="Arial" w:hAnsi="Arial"/>
          <w:b/>
        </w:rPr>
        <w:t>FOE:</w:t>
      </w:r>
      <w:r>
        <w:rPr>
          <w:rFonts w:cs="Arial" w:ascii="Arial" w:hAnsi="Arial"/>
        </w:rPr>
        <w:t xml:space="preserve"> </w:t>
      </w:r>
      <w:r>
        <w:rPr>
          <w:rFonts w:cs="Arial" w:ascii="Arial" w:hAnsi="Arial"/>
          <w:b/>
        </w:rPr>
        <w:t>Clase práctica. (6 horas).</w:t>
      </w:r>
    </w:p>
    <w:p>
      <w:pPr>
        <w:pStyle w:val="Normal"/>
        <w:spacing w:lineRule="auto" w:line="360"/>
        <w:jc w:val="both"/>
        <w:rPr>
          <w:rFonts w:ascii="Arial" w:hAnsi="Arial" w:cs="Arial"/>
        </w:rPr>
      </w:pPr>
      <w:r>
        <w:rPr>
          <w:rFonts w:cs="Arial" w:ascii="Arial" w:hAnsi="Arial"/>
        </w:rPr>
      </w:r>
    </w:p>
    <w:p>
      <w:pPr>
        <w:pStyle w:val="Normal"/>
        <w:spacing w:lineRule="auto" w:line="360"/>
        <w:jc w:val="both"/>
        <w:rPr>
          <w:rFonts w:ascii="Arial" w:hAnsi="Arial" w:cs="Arial"/>
          <w:lang w:val="es-MX"/>
        </w:rPr>
      </w:pPr>
      <w:r>
        <w:rPr>
          <w:rFonts w:cs="Arial" w:ascii="Arial" w:hAnsi="Arial"/>
          <w:b/>
        </w:rPr>
        <w:t xml:space="preserve">Temática.  III   </w:t>
      </w:r>
      <w:r>
        <w:rPr>
          <w:rFonts w:cs="Arial" w:ascii="Arial" w:hAnsi="Arial"/>
        </w:rPr>
        <w:t>Procesos inflamatorios e infecciosos por microrganismos.</w:t>
      </w:r>
    </w:p>
    <w:p>
      <w:pPr>
        <w:pStyle w:val="Normal"/>
        <w:spacing w:lineRule="auto" w:line="360"/>
        <w:jc w:val="both"/>
        <w:rPr>
          <w:rFonts w:ascii="Arial" w:hAnsi="Arial" w:cs="Arial"/>
          <w:b/>
          <w:b/>
        </w:rPr>
      </w:pPr>
      <w:r>
        <w:rPr>
          <w:rFonts w:cs="Arial" w:ascii="Arial" w:hAnsi="Arial"/>
          <w:b/>
        </w:rPr>
        <w:t>Sumario:</w:t>
      </w:r>
      <w:r>
        <w:rPr>
          <w:rFonts w:cs="Arial" w:ascii="Arial" w:hAnsi="Arial"/>
        </w:rPr>
        <w:t xml:space="preserve"> Contenido: Procesos infecciosos provocados por microrganismos (bacterias, hongos, parásitos virus) y otros procesos benignos.</w:t>
      </w:r>
      <w:r>
        <w:rPr>
          <w:rFonts w:cs="Arial" w:ascii="Arial" w:hAnsi="Arial"/>
          <w:b/>
        </w:rPr>
        <w:t xml:space="preserve"> </w:t>
      </w:r>
    </w:p>
    <w:p>
      <w:pPr>
        <w:pStyle w:val="Normal"/>
        <w:jc w:val="both"/>
        <w:rPr>
          <w:rFonts w:ascii="Arial" w:hAnsi="Arial" w:cs="Arial"/>
          <w:b/>
          <w:b/>
        </w:rPr>
      </w:pPr>
      <w:r>
        <w:rPr>
          <w:rFonts w:cs="Arial" w:ascii="Arial" w:hAnsi="Arial"/>
          <w:b/>
        </w:rPr>
      </w:r>
    </w:p>
    <w:p>
      <w:pPr>
        <w:pStyle w:val="Normal"/>
        <w:jc w:val="both"/>
        <w:rPr>
          <w:rFonts w:ascii="Arial" w:hAnsi="Arial" w:cs="Arial"/>
          <w:b/>
          <w:b/>
        </w:rPr>
      </w:pPr>
      <w:r>
        <w:rPr>
          <w:rFonts w:cs="Arial" w:ascii="Arial" w:hAnsi="Arial"/>
          <w:b/>
        </w:rPr>
        <w:t>Objetivo de la actividad:</w:t>
      </w:r>
    </w:p>
    <w:p>
      <w:pPr>
        <w:pStyle w:val="ListParagraph"/>
        <w:numPr>
          <w:ilvl w:val="0"/>
          <w:numId w:val="1"/>
        </w:numPr>
        <w:spacing w:lineRule="auto" w:line="360"/>
        <w:jc w:val="both"/>
        <w:rPr>
          <w:rFonts w:ascii="Arial" w:hAnsi="Arial" w:cs="Arial"/>
          <w:bCs/>
        </w:rPr>
      </w:pPr>
      <w:r>
        <w:rPr>
          <w:rFonts w:cs="Arial" w:ascii="Arial" w:hAnsi="Arial"/>
          <w:bCs/>
        </w:rPr>
        <w:t xml:space="preserve">Identificar los cambios en la morfología celular en los procesos infecciosos provocados por microorganismos (bacterias, hongos, parásitos, clamidias, y virus.) </w:t>
      </w:r>
    </w:p>
    <w:p>
      <w:pPr>
        <w:pStyle w:val="Normal"/>
        <w:jc w:val="both"/>
        <w:rPr>
          <w:rFonts w:ascii="Arial" w:hAnsi="Arial" w:cs="Arial"/>
          <w:b/>
          <w:b/>
        </w:rPr>
      </w:pPr>
      <w:r>
        <w:rPr>
          <w:rFonts w:cs="Arial" w:ascii="Arial" w:hAnsi="Arial"/>
          <w:b/>
        </w:rPr>
        <w:t xml:space="preserve">Bibliografía: </w:t>
      </w:r>
    </w:p>
    <w:p>
      <w:pPr>
        <w:pStyle w:val="Normal"/>
        <w:spacing w:lineRule="auto" w:line="360"/>
        <w:jc w:val="both"/>
        <w:rPr>
          <w:rFonts w:ascii="Arial" w:hAnsi="Arial" w:cs="Arial"/>
          <w:b/>
          <w:b/>
        </w:rPr>
      </w:pPr>
      <w:r>
        <w:rPr>
          <w:rFonts w:cs="Arial" w:ascii="Arial" w:hAnsi="Arial"/>
          <w:b/>
        </w:rPr>
        <w:t>Básica:</w:t>
      </w:r>
    </w:p>
    <w:p>
      <w:pPr>
        <w:pStyle w:val="Normal"/>
        <w:numPr>
          <w:ilvl w:val="0"/>
          <w:numId w:val="3"/>
        </w:numPr>
        <w:spacing w:lineRule="auto" w:line="360"/>
        <w:jc w:val="both"/>
        <w:rPr>
          <w:rFonts w:ascii="Arial" w:hAnsi="Arial" w:cs="Arial"/>
        </w:rPr>
      </w:pPr>
      <w:r>
        <w:rPr>
          <w:rFonts w:cs="Arial" w:ascii="Arial" w:hAnsi="Arial"/>
        </w:rPr>
        <w:t>Citodiagnóstico. Colectivo de autores. Editorial Ciencias Médicas. La Habana. 2008.</w:t>
      </w:r>
    </w:p>
    <w:p>
      <w:pPr>
        <w:pStyle w:val="Normal"/>
        <w:spacing w:lineRule="auto" w:line="360"/>
        <w:jc w:val="both"/>
        <w:rPr>
          <w:rFonts w:ascii="Arial" w:hAnsi="Arial" w:cs="Arial"/>
          <w:b/>
          <w:b/>
          <w:lang w:val="es-MX"/>
        </w:rPr>
      </w:pPr>
      <w:r>
        <w:rPr>
          <w:rFonts w:cs="Arial" w:ascii="Arial" w:hAnsi="Arial"/>
          <w:b/>
          <w:lang w:val="es-MX"/>
        </w:rPr>
        <w:t>Complementaria:</w:t>
      </w:r>
    </w:p>
    <w:p>
      <w:pPr>
        <w:pStyle w:val="Normal"/>
        <w:numPr>
          <w:ilvl w:val="0"/>
          <w:numId w:val="2"/>
        </w:numPr>
        <w:spacing w:lineRule="auto" w:line="360"/>
        <w:jc w:val="both"/>
        <w:rPr>
          <w:rFonts w:ascii="Arial" w:hAnsi="Arial" w:cs="Arial"/>
          <w:lang w:val="es-MX"/>
        </w:rPr>
      </w:pPr>
      <w:r>
        <w:rPr>
          <w:rFonts w:cs="Arial" w:ascii="Arial" w:hAnsi="Arial"/>
          <w:lang w:val="es-MX"/>
        </w:rPr>
        <w:t>Laboratorio Atlas de Citología. Autores José María Vaguer. Raimundo García del Moral.</w:t>
      </w:r>
    </w:p>
    <w:p>
      <w:pPr>
        <w:pStyle w:val="Normal"/>
        <w:numPr>
          <w:ilvl w:val="0"/>
          <w:numId w:val="2"/>
        </w:numPr>
        <w:spacing w:lineRule="auto" w:line="360"/>
        <w:jc w:val="both"/>
        <w:rPr>
          <w:rFonts w:ascii="Arial" w:hAnsi="Arial" w:cs="Arial"/>
          <w:lang w:val="es-MX"/>
        </w:rPr>
      </w:pPr>
      <w:r>
        <w:rPr>
          <w:rFonts w:cs="Arial" w:ascii="Arial" w:hAnsi="Arial"/>
          <w:lang w:val="es-MX"/>
        </w:rPr>
        <w:t>Folleto complementario Atlas a color Citología del Cáncer. Autor Masayashi Takhashi. 2da Edición.</w:t>
      </w:r>
    </w:p>
    <w:p>
      <w:pPr>
        <w:pStyle w:val="Normal"/>
        <w:numPr>
          <w:ilvl w:val="0"/>
          <w:numId w:val="2"/>
        </w:numPr>
        <w:spacing w:lineRule="auto" w:line="360"/>
        <w:jc w:val="both"/>
        <w:rPr>
          <w:rFonts w:ascii="Arial" w:hAnsi="Arial" w:cs="Arial"/>
          <w:lang w:val="es-MX"/>
        </w:rPr>
      </w:pPr>
      <w:r>
        <w:rPr>
          <w:rFonts w:cs="Arial" w:ascii="Arial" w:hAnsi="Arial"/>
          <w:lang w:val="es-MX"/>
        </w:rPr>
        <w:t>Texto TOMO II Formación de Técnicos de Cito histopatología. Colectivo de Autores.</w:t>
      </w:r>
    </w:p>
    <w:p>
      <w:pPr>
        <w:pStyle w:val="Normal"/>
        <w:spacing w:lineRule="auto" w:line="360"/>
        <w:jc w:val="both"/>
        <w:rPr>
          <w:rFonts w:ascii="Arial" w:hAnsi="Arial" w:cs="Arial"/>
          <w:b/>
          <w:b/>
        </w:rPr>
      </w:pPr>
      <w:r>
        <w:rPr>
          <w:rFonts w:cs="Arial" w:ascii="Arial" w:hAnsi="Arial"/>
          <w:b/>
        </w:rPr>
        <w:t>Desarrollo</w:t>
      </w:r>
    </w:p>
    <w:p>
      <w:pPr>
        <w:pStyle w:val="Normal"/>
        <w:spacing w:lineRule="auto" w:line="360"/>
        <w:jc w:val="both"/>
        <w:rPr>
          <w:rFonts w:ascii="Arial" w:hAnsi="Arial" w:cs="Arial"/>
          <w:lang w:val="es-ES"/>
        </w:rPr>
      </w:pPr>
      <w:r>
        <w:rPr>
          <w:rFonts w:cs="Arial" w:ascii="Arial" w:hAnsi="Arial"/>
          <w:lang w:val="es-ES"/>
        </w:rPr>
        <w:t>Infecciones específicas del tracto genital</w:t>
      </w:r>
    </w:p>
    <w:p>
      <w:pPr>
        <w:pStyle w:val="Normal"/>
        <w:spacing w:lineRule="auto" w:line="360"/>
        <w:jc w:val="both"/>
        <w:rPr>
          <w:lang w:val="es-MX"/>
        </w:rPr>
      </w:pPr>
      <w:r>
        <w:rPr>
          <w:lang w:val="es-ES"/>
        </w:rPr>
        <w:t xml:space="preserve">Infecciones por bacterias: </w:t>
      </w:r>
    </w:p>
    <w:p>
      <w:pPr>
        <w:pStyle w:val="Normal"/>
        <w:numPr>
          <w:ilvl w:val="0"/>
          <w:numId w:val="4"/>
        </w:numPr>
        <w:spacing w:lineRule="auto" w:line="360"/>
        <w:jc w:val="both"/>
        <w:rPr/>
      </w:pPr>
      <w:hyperlink r:id="rId2">
        <w:r>
          <w:rPr>
            <w:rStyle w:val="EnlacedeInternet"/>
            <w:rFonts w:eastAsia="" w:eastAsiaTheme="minorEastAsia"/>
            <w:lang w:val="es-ES"/>
          </w:rPr>
          <w:t xml:space="preserve">Lactobacilos. Bacilos de </w:t>
        </w:r>
      </w:hyperlink>
      <w:hyperlink r:id="rId3">
        <w:r>
          <w:rPr>
            <w:rStyle w:val="EnlacedeInternet"/>
            <w:rFonts w:eastAsia="" w:eastAsiaTheme="minorEastAsia"/>
            <w:lang w:val="es-ES"/>
          </w:rPr>
          <w:t>Döderlein</w:t>
        </w:r>
      </w:hyperlink>
      <w:r>
        <w:rPr>
          <w:lang w:val="es-ES"/>
        </w:rPr>
        <w:t xml:space="preserve"> </w:t>
      </w:r>
    </w:p>
    <w:p>
      <w:pPr>
        <w:pStyle w:val="Normal"/>
        <w:numPr>
          <w:ilvl w:val="0"/>
          <w:numId w:val="4"/>
        </w:numPr>
        <w:spacing w:lineRule="auto" w:line="360"/>
        <w:jc w:val="both"/>
        <w:rPr/>
      </w:pPr>
      <w:hyperlink r:id="rId4">
        <w:r>
          <w:rPr>
            <w:rStyle w:val="EnlacedeInternet"/>
            <w:rFonts w:eastAsia="" w:eastAsiaTheme="minorEastAsia"/>
            <w:lang w:val="es-ES"/>
          </w:rPr>
          <w:t>Infecciones por Cocos</w:t>
        </w:r>
      </w:hyperlink>
    </w:p>
    <w:p>
      <w:pPr>
        <w:pStyle w:val="Normal"/>
        <w:numPr>
          <w:ilvl w:val="0"/>
          <w:numId w:val="4"/>
        </w:numPr>
        <w:spacing w:lineRule="auto" w:line="360"/>
        <w:jc w:val="both"/>
        <w:rPr/>
      </w:pPr>
      <w:hyperlink r:id="rId5">
        <w:r>
          <w:rPr>
            <w:rStyle w:val="EnlacedeInternet"/>
            <w:rFonts w:eastAsia="" w:eastAsiaTheme="minorEastAsia"/>
            <w:lang w:val="es-ES"/>
          </w:rPr>
          <w:t>Gardnerella</w:t>
        </w:r>
      </w:hyperlink>
      <w:hyperlink r:id="rId6">
        <w:r>
          <w:rPr>
            <w:rStyle w:val="EnlacedeInternet"/>
            <w:rFonts w:eastAsia="" w:eastAsiaTheme="minorEastAsia"/>
            <w:lang w:val="es-ES"/>
          </w:rPr>
          <w:t xml:space="preserve"> </w:t>
        </w:r>
      </w:hyperlink>
      <w:hyperlink r:id="rId7">
        <w:r>
          <w:rPr>
            <w:rStyle w:val="EnlacedeInternet"/>
            <w:rFonts w:eastAsia="" w:eastAsiaTheme="minorEastAsia"/>
            <w:lang w:val="es-ES"/>
          </w:rPr>
          <w:t>vaginalis</w:t>
        </w:r>
      </w:hyperlink>
      <w:r>
        <w:rPr>
          <w:lang w:val="es-ES"/>
        </w:rPr>
        <w:t xml:space="preserve"> </w:t>
      </w:r>
    </w:p>
    <w:p>
      <w:pPr>
        <w:pStyle w:val="Normal"/>
        <w:numPr>
          <w:ilvl w:val="0"/>
          <w:numId w:val="4"/>
        </w:numPr>
        <w:spacing w:lineRule="auto" w:line="360"/>
        <w:jc w:val="both"/>
        <w:rPr/>
      </w:pPr>
      <w:hyperlink r:id="rId8">
        <w:r>
          <w:rPr>
            <w:rStyle w:val="EnlacedeInternet"/>
            <w:rFonts w:eastAsia="" w:eastAsiaTheme="minorEastAsia"/>
            <w:lang w:val="es-ES"/>
          </w:rPr>
          <w:t>Leptothrix</w:t>
        </w:r>
      </w:hyperlink>
      <w:r>
        <w:rPr>
          <w:lang w:val="es-ES"/>
        </w:rPr>
        <w:t xml:space="preserve"> </w:t>
      </w:r>
    </w:p>
    <w:p>
      <w:pPr>
        <w:pStyle w:val="Normal"/>
        <w:numPr>
          <w:ilvl w:val="0"/>
          <w:numId w:val="4"/>
        </w:numPr>
        <w:spacing w:lineRule="auto" w:line="360"/>
        <w:jc w:val="both"/>
        <w:rPr/>
      </w:pPr>
      <w:hyperlink r:id="rId9">
        <w:r>
          <w:rPr>
            <w:rStyle w:val="EnlacedeInternet"/>
            <w:rFonts w:eastAsia="" w:eastAsiaTheme="minorEastAsia"/>
            <w:lang w:val="es-ES"/>
          </w:rPr>
          <w:t>Actinomyces</w:t>
        </w:r>
      </w:hyperlink>
      <w: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pPr>
        <w:pStyle w:val="Normal"/>
        <w:spacing w:lineRule="auto" w:line="360"/>
        <w:jc w:val="both"/>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r>
    </w:p>
    <w:p>
      <w:pPr>
        <w:pStyle w:val="Normal"/>
        <w:spacing w:lineRule="auto" w:line="360"/>
        <w:jc w:val="both"/>
        <w:rPr>
          <w:rFonts w:eastAsia="" w:eastAsiaTheme="minorEastAsia"/>
          <w:lang w:val="es-ES"/>
        </w:rPr>
      </w:pPr>
      <w:r>
        <w:rPr>
          <w:rFonts w:eastAsia="" w:eastAsiaTheme="minorEastAsia"/>
          <w:b/>
          <w:lang w:val="es-ES"/>
        </w:rPr>
        <w:t>Bacilos de Doderlein</w:t>
      </w:r>
      <w:r>
        <w:rPr>
          <w:rFonts w:eastAsia="" w:eastAsiaTheme="minorEastAsia"/>
          <w:lang w:val="es-ES"/>
        </w:rPr>
        <w:t>.</w:t>
      </w:r>
    </w:p>
    <w:p>
      <w:pPr>
        <w:pStyle w:val="Normal"/>
        <w:spacing w:lineRule="auto" w:line="360"/>
        <w:jc w:val="both"/>
        <w:rPr>
          <w:rFonts w:eastAsia="" w:eastAsiaTheme="minorEastAsia"/>
          <w:lang w:val="es-ES"/>
        </w:rPr>
      </w:pPr>
      <w:r>
        <w:rPr>
          <w:rFonts w:eastAsia="" w:eastAsiaTheme="minorEastAsia"/>
          <w:lang w:val="es-ES"/>
        </w:rPr>
        <w:t>Observe el tamaño y forma, así como la coloración basófila que adquieren con la coloración de Papanicolaou.</w:t>
      </w:r>
    </w:p>
    <w:p>
      <w:pPr>
        <w:pStyle w:val="Normal"/>
        <w:spacing w:lineRule="auto" w:line="360"/>
        <w:jc w:val="both"/>
        <w:rPr>
          <w:color w:val="000000" w:themeColor="text1"/>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drawing>
          <wp:inline distT="0" distB="0" distL="0" distR="8890">
            <wp:extent cx="4105910" cy="2903855"/>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10"/>
                    <a:stretch>
                      <a:fillRect/>
                    </a:stretch>
                  </pic:blipFill>
                  <pic:spPr bwMode="auto">
                    <a:xfrm>
                      <a:off x="0" y="0"/>
                      <a:ext cx="4105910" cy="2903855"/>
                    </a:xfrm>
                    <a:prstGeom prst="rect">
                      <a:avLst/>
                    </a:prstGeom>
                  </pic:spPr>
                </pic:pic>
              </a:graphicData>
            </a:graphic>
          </wp:inline>
        </w:drawing>
      </w:r>
    </w:p>
    <w:p>
      <w:pPr>
        <w:pStyle w:val="Normal"/>
        <w:spacing w:lineRule="auto" w:line="360"/>
        <w:jc w:val="both"/>
        <w:rPr/>
      </w:pPr>
      <w:r>
        <w:rPr/>
        <w:drawing>
          <wp:inline distT="0" distB="0" distL="0" distR="2540">
            <wp:extent cx="3998595" cy="3053080"/>
            <wp:effectExtent l="0" t="0" r="0" b="0"/>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11"/>
                    <a:stretch>
                      <a:fillRect/>
                    </a:stretch>
                  </pic:blipFill>
                  <pic:spPr bwMode="auto">
                    <a:xfrm>
                      <a:off x="0" y="0"/>
                      <a:ext cx="3998595" cy="3053080"/>
                    </a:xfrm>
                    <a:prstGeom prst="rect">
                      <a:avLst/>
                    </a:prstGeom>
                  </pic:spPr>
                </pic:pic>
              </a:graphicData>
            </a:graphic>
          </wp:inline>
        </w:drawing>
      </w:r>
    </w:p>
    <w:p>
      <w:pPr>
        <w:pStyle w:val="Normal"/>
        <w:spacing w:lineRule="auto" w:line="360"/>
        <w:jc w:val="both"/>
        <w:rPr>
          <w:b/>
          <w:b/>
        </w:rPr>
      </w:pPr>
      <w:r>
        <w:rPr>
          <w:b/>
        </w:rPr>
      </w:r>
    </w:p>
    <w:p>
      <w:pPr>
        <w:pStyle w:val="Normal"/>
        <w:spacing w:lineRule="auto" w:line="360"/>
        <w:jc w:val="both"/>
        <w:rPr>
          <w:b/>
          <w:b/>
        </w:rPr>
      </w:pPr>
      <w:r>
        <w:rPr>
          <w:b/>
        </w:rPr>
        <w:t>Infecciones por Cocos</w:t>
      </w:r>
    </w:p>
    <w:p>
      <w:pPr>
        <w:pStyle w:val="Normal"/>
        <w:spacing w:lineRule="auto" w:line="360"/>
        <w:jc w:val="both"/>
        <w:rPr/>
      </w:pPr>
      <w:r>
        <w:rPr/>
        <w:t>Recordar que estos microorganismos presentan una morfología redondeada con una coloración que va desde basófilo a grisácea, fondo sucio y componente inflamatorio.</w:t>
      </w:r>
    </w:p>
    <w:p>
      <w:pPr>
        <w:pStyle w:val="Normal"/>
        <w:spacing w:lineRule="auto" w:line="360"/>
        <w:jc w:val="both"/>
        <w:rPr/>
      </w:pPr>
      <w:r>
        <w:rPr/>
        <w:t xml:space="preserve"> </w:t>
      </w:r>
      <w:r>
        <w:rPr/>
        <w:drawing>
          <wp:inline distT="0" distB="5080" distL="0" distR="1905">
            <wp:extent cx="4132580" cy="3081020"/>
            <wp:effectExtent l="0" t="0" r="0" b="0"/>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2"/>
                    <a:stretch>
                      <a:fillRect/>
                    </a:stretch>
                  </pic:blipFill>
                  <pic:spPr bwMode="auto">
                    <a:xfrm>
                      <a:off x="0" y="0"/>
                      <a:ext cx="4132580" cy="3081020"/>
                    </a:xfrm>
                    <a:prstGeom prst="rect">
                      <a:avLst/>
                    </a:prstGeom>
                  </pic:spPr>
                </pic:pic>
              </a:graphicData>
            </a:graphic>
          </wp:inline>
        </w:drawing>
      </w:r>
    </w:p>
    <w:p>
      <w:pPr>
        <w:pStyle w:val="Normal"/>
        <w:spacing w:lineRule="auto" w:line="360"/>
        <w:jc w:val="both"/>
        <w:rPr/>
      </w:pPr>
      <w:r>
        <w:rPr/>
      </w:r>
    </w:p>
    <w:p>
      <w:pPr>
        <w:pStyle w:val="Normal"/>
        <w:spacing w:lineRule="auto" w:line="360"/>
        <w:jc w:val="both"/>
        <w:rPr/>
      </w:pPr>
      <w:r>
        <w:rPr/>
        <w:drawing>
          <wp:inline distT="0" distB="5080" distL="0" distR="8890">
            <wp:extent cx="3954145" cy="2947670"/>
            <wp:effectExtent l="0" t="0" r="0" b="0"/>
            <wp:docPr id="4"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
                    <pic:cNvPicPr>
                      <a:picLocks noChangeAspect="1" noChangeArrowheads="1"/>
                    </pic:cNvPicPr>
                  </pic:nvPicPr>
                  <pic:blipFill>
                    <a:blip r:embed="rId13"/>
                    <a:stretch>
                      <a:fillRect/>
                    </a:stretch>
                  </pic:blipFill>
                  <pic:spPr bwMode="auto">
                    <a:xfrm>
                      <a:off x="0" y="0"/>
                      <a:ext cx="3954145" cy="2947670"/>
                    </a:xfrm>
                    <a:prstGeom prst="rect">
                      <a:avLst/>
                    </a:prstGeom>
                  </pic:spPr>
                </pic:pic>
              </a:graphicData>
            </a:graphic>
          </wp:inline>
        </w:drawing>
      </w:r>
    </w:p>
    <w:p>
      <w:pPr>
        <w:pStyle w:val="Normal"/>
        <w:spacing w:lineRule="auto" w:line="360"/>
        <w:jc w:val="both"/>
        <w:rPr/>
      </w:pPr>
      <w:r>
        <w:rPr/>
      </w:r>
    </w:p>
    <w:p>
      <w:pPr>
        <w:pStyle w:val="Normal"/>
        <w:spacing w:lineRule="auto" w:line="360"/>
        <w:jc w:val="both"/>
        <w:rPr/>
      </w:pPr>
      <w:r>
        <w:rPr/>
        <w:t>Gardnerellas Vaginales</w:t>
      </w:r>
    </w:p>
    <w:p>
      <w:pPr>
        <w:pStyle w:val="Normal"/>
        <w:spacing w:lineRule="auto" w:line="360"/>
        <w:jc w:val="both"/>
        <w:rPr/>
      </w:pPr>
      <w:r>
        <w:rPr/>
        <w:t>Estos microorganismos son causantes de la denominada vaginosis bacteriana.</w:t>
      </w:r>
    </w:p>
    <w:p>
      <w:pPr>
        <w:pStyle w:val="Normal"/>
        <w:spacing w:lineRule="auto" w:line="360"/>
        <w:jc w:val="both"/>
        <w:rPr/>
      </w:pPr>
      <w:r>
        <w:rPr/>
        <w:t>Observe el depósito de microorganismos pequeños cocobacilares que producen un borramiento de los bordes citoplasmáticos, en el fondo se observan grandes acúmulos de estos microorganismos dejando espacios claros, así como la picnosi que producen en las células intermedias y refuerzo de los bordes citoplasmáticos.</w:t>
      </w:r>
    </w:p>
    <w:p>
      <w:pPr>
        <w:pStyle w:val="Normal"/>
        <w:spacing w:lineRule="auto" w:line="360"/>
        <w:jc w:val="both"/>
        <w:rPr/>
      </w:pPr>
      <w:r>
        <w:rPr/>
        <w:drawing>
          <wp:inline distT="0" distB="0" distL="0" distR="0">
            <wp:extent cx="3944620" cy="2934970"/>
            <wp:effectExtent l="0" t="0" r="0" b="0"/>
            <wp:docPr id="5"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
                    <pic:cNvPicPr>
                      <a:picLocks noChangeAspect="1" noChangeArrowheads="1"/>
                    </pic:cNvPicPr>
                  </pic:nvPicPr>
                  <pic:blipFill>
                    <a:blip r:embed="rId14"/>
                    <a:stretch>
                      <a:fillRect/>
                    </a:stretch>
                  </pic:blipFill>
                  <pic:spPr bwMode="auto">
                    <a:xfrm>
                      <a:off x="0" y="0"/>
                      <a:ext cx="3944620" cy="2934970"/>
                    </a:xfrm>
                    <a:prstGeom prst="rect">
                      <a:avLst/>
                    </a:prstGeom>
                  </pic:spPr>
                </pic:pic>
              </a:graphicData>
            </a:graphic>
          </wp:inline>
        </w:drawing>
      </w:r>
    </w:p>
    <w:p>
      <w:pPr>
        <w:pStyle w:val="Normal"/>
        <w:spacing w:lineRule="auto" w:line="360"/>
        <w:jc w:val="both"/>
        <w:rPr/>
      </w:pPr>
      <w:r>
        <w:rPr/>
        <w:drawing>
          <wp:inline distT="0" distB="0" distL="0" distR="3175">
            <wp:extent cx="4016375" cy="2974975"/>
            <wp:effectExtent l="0" t="0" r="0" b="0"/>
            <wp:docPr id="6"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
                    <pic:cNvPicPr>
                      <a:picLocks noChangeAspect="1" noChangeArrowheads="1"/>
                    </pic:cNvPicPr>
                  </pic:nvPicPr>
                  <pic:blipFill>
                    <a:blip r:embed="rId15"/>
                    <a:stretch>
                      <a:fillRect/>
                    </a:stretch>
                  </pic:blipFill>
                  <pic:spPr bwMode="auto">
                    <a:xfrm>
                      <a:off x="0" y="0"/>
                      <a:ext cx="4016375" cy="2974975"/>
                    </a:xfrm>
                    <a:prstGeom prst="rect">
                      <a:avLst/>
                    </a:prstGeom>
                  </pic:spPr>
                </pic:pic>
              </a:graphicData>
            </a:graphic>
          </wp:inline>
        </w:drawing>
      </w:r>
    </w:p>
    <w:p>
      <w:pPr>
        <w:pStyle w:val="Normal"/>
        <w:spacing w:lineRule="auto" w:line="360"/>
        <w:jc w:val="both"/>
        <w:rPr/>
      </w:pPr>
      <w:r>
        <w:rPr/>
      </w:r>
    </w:p>
    <w:p>
      <w:pPr>
        <w:pStyle w:val="Normal"/>
        <w:spacing w:lineRule="auto" w:line="360"/>
        <w:jc w:val="both"/>
        <w:rPr>
          <w:b/>
          <w:b/>
        </w:rPr>
      </w:pPr>
      <w:r>
        <w:rPr>
          <w:b/>
        </w:rPr>
        <w:t>Leptothrix vaginales</w:t>
      </w:r>
    </w:p>
    <w:p>
      <w:pPr>
        <w:pStyle w:val="Normal"/>
        <w:numPr>
          <w:ilvl w:val="1"/>
          <w:numId w:val="5"/>
        </w:numPr>
        <w:spacing w:lineRule="auto" w:line="360"/>
        <w:ind w:left="284" w:hanging="284"/>
        <w:jc w:val="both"/>
        <w:rPr>
          <w:lang w:val="es-MX"/>
        </w:rPr>
      </w:pPr>
      <w:r>
        <w:rPr>
          <w:lang w:val="es-ES"/>
        </w:rPr>
        <w:t>Bacilos largos de aspecto filamentoso con ramificaciones sin esporas. Recordar que no produce alteraciones celulares importantes y que tienen un aspecto en "madeja de hilo o cabello que los distingue fácilmente.</w:t>
      </w:r>
    </w:p>
    <w:p>
      <w:pPr>
        <w:pStyle w:val="Normal"/>
        <w:spacing w:lineRule="auto" w:line="360"/>
        <w:jc w:val="both"/>
        <w:rPr>
          <w:lang w:val="es-MX"/>
        </w:rPr>
      </w:pPr>
      <w:r>
        <w:rPr/>
        <w:drawing>
          <wp:inline distT="0" distB="0" distL="0" distR="5715">
            <wp:extent cx="4051935" cy="2996565"/>
            <wp:effectExtent l="0" t="0" r="0" b="0"/>
            <wp:docPr id="7"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
                    <pic:cNvPicPr>
                      <a:picLocks noChangeAspect="1" noChangeArrowheads="1"/>
                    </pic:cNvPicPr>
                  </pic:nvPicPr>
                  <pic:blipFill>
                    <a:blip r:embed="rId16"/>
                    <a:stretch>
                      <a:fillRect/>
                    </a:stretch>
                  </pic:blipFill>
                  <pic:spPr bwMode="auto">
                    <a:xfrm>
                      <a:off x="0" y="0"/>
                      <a:ext cx="4051935" cy="2996565"/>
                    </a:xfrm>
                    <a:prstGeom prst="rect">
                      <a:avLst/>
                    </a:prstGeom>
                  </pic:spPr>
                </pic:pic>
              </a:graphicData>
            </a:graphic>
          </wp:inline>
        </w:drawing>
      </w:r>
    </w:p>
    <w:p>
      <w:pPr>
        <w:pStyle w:val="Normal"/>
        <w:spacing w:lineRule="auto" w:line="360"/>
        <w:jc w:val="both"/>
        <w:rPr>
          <w:lang w:val="es-MX"/>
        </w:rPr>
      </w:pPr>
      <w:r>
        <w:rPr>
          <w:lang w:val="es-MX"/>
        </w:rPr>
        <w:t>Actymomices</w:t>
      </w:r>
    </w:p>
    <w:p>
      <w:pPr>
        <w:pStyle w:val="Normal"/>
        <w:spacing w:lineRule="auto" w:line="360"/>
        <w:jc w:val="both"/>
        <w:rPr>
          <w:lang w:val="es-ES"/>
        </w:rPr>
      </w:pPr>
      <w:r>
        <w:rPr>
          <w:lang w:val="es-MX"/>
        </w:rPr>
        <w:t xml:space="preserve">Recordar la morfología variable que presenta estos microorganismos: </w:t>
      </w:r>
      <w:r>
        <w:rPr>
          <w:lang w:val="es-ES"/>
        </w:rPr>
        <w:t xml:space="preserve">cocáceo, bacilar o filamentoso. </w:t>
      </w:r>
    </w:p>
    <w:p>
      <w:pPr>
        <w:pStyle w:val="Normal"/>
        <w:tabs>
          <w:tab w:val="left" w:pos="720" w:leader="none"/>
          <w:tab w:val="left" w:pos="1440" w:leader="none"/>
        </w:tabs>
        <w:spacing w:lineRule="auto" w:line="360"/>
        <w:jc w:val="both"/>
        <w:rPr>
          <w:lang w:val="es-ES"/>
        </w:rPr>
      </w:pPr>
      <w:r>
        <w:rPr>
          <w:lang w:val="es-ES"/>
        </w:rPr>
        <w:t>Aquí se puede observar una mancha oscura central basófila, amorfa, con filamentos entrecruzados, es decir filamentos perpendiculares y radiales al núcleo central, no alteraciones celulares importantes, fondo inflamatorio, con neutrófilos e histiocitos.</w:t>
      </w:r>
    </w:p>
    <w:p>
      <w:pPr>
        <w:pStyle w:val="Normal"/>
        <w:tabs>
          <w:tab w:val="left" w:pos="720" w:leader="none"/>
          <w:tab w:val="left" w:pos="1440" w:leader="none"/>
        </w:tabs>
        <w:spacing w:lineRule="auto" w:line="360"/>
        <w:jc w:val="both"/>
        <w:rPr>
          <w:lang w:val="es-MX"/>
        </w:rPr>
      </w:pPr>
      <w:r>
        <w:rPr/>
        <w:drawing>
          <wp:inline distT="0" distB="3175" distL="0" distR="0">
            <wp:extent cx="3971290" cy="3007360"/>
            <wp:effectExtent l="0" t="0" r="0" b="0"/>
            <wp:docPr id="8" name="Imagen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
                    <pic:cNvPicPr>
                      <a:picLocks noChangeAspect="1" noChangeArrowheads="1"/>
                    </pic:cNvPicPr>
                  </pic:nvPicPr>
                  <pic:blipFill>
                    <a:blip r:embed="rId17"/>
                    <a:stretch>
                      <a:fillRect/>
                    </a:stretch>
                  </pic:blipFill>
                  <pic:spPr bwMode="auto">
                    <a:xfrm>
                      <a:off x="0" y="0"/>
                      <a:ext cx="3971290" cy="3007360"/>
                    </a:xfrm>
                    <a:prstGeom prst="rect">
                      <a:avLst/>
                    </a:prstGeom>
                  </pic:spPr>
                </pic:pic>
              </a:graphicData>
            </a:graphic>
          </wp:inline>
        </w:drawing>
      </w:r>
    </w:p>
    <w:p>
      <w:pPr>
        <w:pStyle w:val="Normal"/>
        <w:tabs>
          <w:tab w:val="left" w:pos="720" w:leader="none"/>
          <w:tab w:val="left" w:pos="1440" w:leader="none"/>
        </w:tabs>
        <w:spacing w:lineRule="auto" w:line="360"/>
        <w:jc w:val="both"/>
        <w:rPr>
          <w:lang w:val="es-MX"/>
        </w:rPr>
      </w:pPr>
      <w:r>
        <w:rPr>
          <w:lang w:val="es-MX"/>
        </w:rPr>
      </w:r>
    </w:p>
    <w:p>
      <w:pPr>
        <w:pStyle w:val="Normal"/>
        <w:tabs>
          <w:tab w:val="left" w:pos="720" w:leader="none"/>
          <w:tab w:val="left" w:pos="1440" w:leader="none"/>
        </w:tabs>
        <w:spacing w:lineRule="auto" w:line="360"/>
        <w:jc w:val="both"/>
        <w:rPr>
          <w:lang w:val="es-MX"/>
        </w:rPr>
      </w:pPr>
      <w:r>
        <w:rPr/>
        <w:drawing>
          <wp:inline distT="0" distB="8890" distL="0" distR="8890">
            <wp:extent cx="4411345" cy="3401695"/>
            <wp:effectExtent l="0" t="0" r="0" b="0"/>
            <wp:docPr id="9" name="Imagen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
                    <pic:cNvPicPr>
                      <a:picLocks noChangeAspect="1" noChangeArrowheads="1"/>
                    </pic:cNvPicPr>
                  </pic:nvPicPr>
                  <pic:blipFill>
                    <a:blip r:embed="rId18"/>
                    <a:stretch>
                      <a:fillRect/>
                    </a:stretch>
                  </pic:blipFill>
                  <pic:spPr bwMode="auto">
                    <a:xfrm>
                      <a:off x="0" y="0"/>
                      <a:ext cx="4411345" cy="3401695"/>
                    </a:xfrm>
                    <a:prstGeom prst="rect">
                      <a:avLst/>
                    </a:prstGeom>
                  </pic:spPr>
                </pic:pic>
              </a:graphicData>
            </a:graphic>
          </wp:inline>
        </w:drawing>
      </w:r>
    </w:p>
    <w:p>
      <w:pPr>
        <w:pStyle w:val="Normal"/>
        <w:tabs>
          <w:tab w:val="left" w:pos="1440" w:leader="none"/>
        </w:tabs>
        <w:spacing w:lineRule="auto" w:line="360"/>
        <w:jc w:val="both"/>
        <w:rPr>
          <w:b/>
          <w:b/>
          <w:lang w:val="es-MX"/>
        </w:rPr>
      </w:pPr>
      <w:r>
        <w:rPr>
          <w:b/>
          <w:lang w:val="es-ES"/>
        </w:rPr>
        <w:t xml:space="preserve">Infecciones por hongos. </w:t>
      </w:r>
    </w:p>
    <w:p>
      <w:pPr>
        <w:pStyle w:val="Normal"/>
        <w:numPr>
          <w:ilvl w:val="0"/>
          <w:numId w:val="6"/>
        </w:numPr>
        <w:tabs>
          <w:tab w:val="left" w:pos="567" w:leader="none"/>
          <w:tab w:val="left" w:pos="1440" w:leader="none"/>
        </w:tabs>
        <w:spacing w:lineRule="auto" w:line="360"/>
        <w:jc w:val="both"/>
        <w:rPr/>
      </w:pPr>
      <w:hyperlink r:id="rId19">
        <w:r>
          <w:rPr>
            <w:rStyle w:val="EnlacedeInternet"/>
            <w:rFonts w:eastAsia="" w:eastAsiaTheme="minorEastAsia"/>
            <w:lang w:val="es-ES"/>
          </w:rPr>
          <w:t xml:space="preserve">Cándida </w:t>
        </w:r>
      </w:hyperlink>
      <w:hyperlink r:id="rId20">
        <w:r>
          <w:rPr>
            <w:rStyle w:val="EnlacedeInternet"/>
            <w:rFonts w:eastAsia="" w:eastAsiaTheme="minorEastAsia"/>
            <w:lang w:val="es-ES"/>
          </w:rPr>
          <w:t>albicans</w:t>
        </w:r>
      </w:hyperlink>
      <w:r>
        <w:rPr>
          <w:lang w:val="es-ES"/>
        </w:rPr>
        <w:t xml:space="preserve"> </w:t>
      </w:r>
    </w:p>
    <w:p>
      <w:pPr>
        <w:pStyle w:val="Normal"/>
        <w:numPr>
          <w:ilvl w:val="0"/>
          <w:numId w:val="6"/>
        </w:numPr>
        <w:tabs>
          <w:tab w:val="left" w:pos="567" w:leader="none"/>
          <w:tab w:val="left" w:pos="1440" w:leader="none"/>
        </w:tabs>
        <w:spacing w:lineRule="auto" w:line="360"/>
        <w:jc w:val="both"/>
        <w:rPr/>
      </w:pPr>
      <w:hyperlink r:id="rId21">
        <w:r>
          <w:rPr>
            <w:rStyle w:val="EnlacedeInternet"/>
            <w:rFonts w:eastAsia="" w:eastAsiaTheme="minorEastAsia"/>
            <w:lang w:val="es-ES"/>
          </w:rPr>
          <w:t>Torulosis</w:t>
        </w:r>
      </w:hyperlink>
      <w:hyperlink r:id="rId22">
        <w:r>
          <w:rPr>
            <w:rStyle w:val="EnlacedeInternet"/>
            <w:rFonts w:eastAsia="" w:eastAsiaTheme="minorEastAsia"/>
            <w:lang w:val="es-ES"/>
          </w:rPr>
          <w:t xml:space="preserve"> </w:t>
        </w:r>
      </w:hyperlink>
      <w:hyperlink r:id="rId23">
        <w:r>
          <w:rPr>
            <w:rStyle w:val="EnlacedeInternet"/>
            <w:rFonts w:eastAsia="" w:eastAsiaTheme="minorEastAsia"/>
            <w:lang w:val="es-ES"/>
          </w:rPr>
          <w:t>glabrata</w:t>
        </w:r>
      </w:hyperlink>
      <w:r>
        <w:rPr>
          <w:lang w:val="es-ES"/>
        </w:rPr>
        <w:t xml:space="preserve"> </w:t>
      </w:r>
    </w:p>
    <w:p>
      <w:pPr>
        <w:pStyle w:val="Normal"/>
        <w:tabs>
          <w:tab w:val="left" w:pos="1440" w:leader="none"/>
        </w:tabs>
        <w:spacing w:lineRule="auto" w:line="360"/>
        <w:jc w:val="both"/>
        <w:rPr>
          <w:lang w:val="es-ES"/>
        </w:rPr>
      </w:pPr>
      <w:r>
        <w:rPr>
          <w:lang w:val="es-ES"/>
        </w:rPr>
        <w:t>Candida albicans</w:t>
      </w:r>
    </w:p>
    <w:p>
      <w:pPr>
        <w:pStyle w:val="Normal"/>
        <w:tabs>
          <w:tab w:val="left" w:pos="2592" w:leader="none"/>
        </w:tabs>
        <w:spacing w:lineRule="auto" w:line="276" w:before="0" w:after="200"/>
        <w:jc w:val="both"/>
        <w:rPr/>
      </w:pPr>
      <w:r>
        <w:rPr>
          <w:lang w:val="es-ES"/>
        </w:rPr>
        <w:t xml:space="preserve">Observe la </w:t>
      </w:r>
      <w:r>
        <w:rPr/>
        <w:t>estructura pequeña que tienen estos microorganismos, redondeadas u ovales, con frecuencia rodeadas por un halo claro que se tiñe de forma variable, desde basófilos a una coloración rojiza.</w:t>
      </w:r>
    </w:p>
    <w:p>
      <w:pPr>
        <w:pStyle w:val="Normal"/>
        <w:tabs>
          <w:tab w:val="left" w:pos="1440" w:leader="none"/>
        </w:tabs>
        <w:spacing w:lineRule="auto" w:line="360"/>
        <w:jc w:val="both"/>
        <w:rPr/>
      </w:pPr>
      <w:r>
        <w:rPr/>
      </w:r>
    </w:p>
    <w:p>
      <w:pPr>
        <w:pStyle w:val="Normal"/>
        <w:tabs>
          <w:tab w:val="left" w:pos="1440" w:leader="none"/>
        </w:tabs>
        <w:spacing w:lineRule="auto" w:line="360"/>
        <w:jc w:val="both"/>
        <w:rPr>
          <w:lang w:val="es-ES"/>
        </w:rPr>
      </w:pPr>
      <w:r>
        <w:rPr/>
        <w:drawing>
          <wp:inline distT="0" distB="7620" distL="0" distR="2540">
            <wp:extent cx="3388360" cy="2564130"/>
            <wp:effectExtent l="0" t="0" r="0" b="0"/>
            <wp:docPr id="10"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
                    <pic:cNvPicPr>
                      <a:picLocks noChangeAspect="1" noChangeArrowheads="1"/>
                    </pic:cNvPicPr>
                  </pic:nvPicPr>
                  <pic:blipFill>
                    <a:blip r:embed="rId24"/>
                    <a:stretch>
                      <a:fillRect/>
                    </a:stretch>
                  </pic:blipFill>
                  <pic:spPr bwMode="auto">
                    <a:xfrm>
                      <a:off x="0" y="0"/>
                      <a:ext cx="3388360" cy="2564130"/>
                    </a:xfrm>
                    <a:prstGeom prst="rect">
                      <a:avLst/>
                    </a:prstGeom>
                  </pic:spPr>
                </pic:pic>
              </a:graphicData>
            </a:graphic>
          </wp:inline>
        </w:drawing>
      </w:r>
    </w:p>
    <w:p>
      <w:pPr>
        <w:pStyle w:val="Normal"/>
        <w:tabs>
          <w:tab w:val="left" w:pos="2592" w:leader="none"/>
        </w:tabs>
        <w:spacing w:lineRule="auto" w:line="276" w:before="0" w:after="200"/>
        <w:ind w:left="284" w:hanging="0"/>
        <w:jc w:val="both"/>
        <w:rPr/>
      </w:pPr>
      <w:r>
        <w:rPr/>
        <w:t>Pseudohifas: recordar que son estructuras alargadas, delgadas y tabicadas, que se sitúan aisladas o en agrupamientos y que presentan una coloración similar a las descritas en las esporas.</w:t>
      </w:r>
    </w:p>
    <w:p>
      <w:pPr>
        <w:pStyle w:val="Normal"/>
        <w:tabs>
          <w:tab w:val="left" w:pos="1440" w:leader="none"/>
        </w:tabs>
        <w:spacing w:lineRule="auto" w:line="360"/>
        <w:jc w:val="both"/>
        <w:rPr/>
      </w:pPr>
      <w:r>
        <w:rPr/>
        <w:drawing>
          <wp:inline distT="0" distB="1270" distL="0" distR="1270">
            <wp:extent cx="3522980" cy="2608580"/>
            <wp:effectExtent l="0" t="0" r="0" b="0"/>
            <wp:docPr id="11" name="Imagen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
                    <pic:cNvPicPr>
                      <a:picLocks noChangeAspect="1" noChangeArrowheads="1"/>
                    </pic:cNvPicPr>
                  </pic:nvPicPr>
                  <pic:blipFill>
                    <a:blip r:embed="rId25"/>
                    <a:stretch>
                      <a:fillRect/>
                    </a:stretch>
                  </pic:blipFill>
                  <pic:spPr bwMode="auto">
                    <a:xfrm>
                      <a:off x="0" y="0"/>
                      <a:ext cx="3522980" cy="2608580"/>
                    </a:xfrm>
                    <a:prstGeom prst="rect">
                      <a:avLst/>
                    </a:prstGeom>
                  </pic:spPr>
                </pic:pic>
              </a:graphicData>
            </a:graphic>
          </wp:inline>
        </w:drawing>
      </w:r>
    </w:p>
    <w:p>
      <w:pPr>
        <w:pStyle w:val="Normal"/>
        <w:tabs>
          <w:tab w:val="left" w:pos="1440" w:leader="none"/>
        </w:tabs>
        <w:spacing w:lineRule="auto" w:line="360"/>
        <w:jc w:val="both"/>
        <w:rPr>
          <w:lang w:val="es-ES"/>
        </w:rPr>
      </w:pPr>
      <w:r>
        <w:rPr>
          <w:lang w:val="es-ES"/>
        </w:rPr>
      </w:r>
    </w:p>
    <w:p>
      <w:pPr>
        <w:pStyle w:val="Normal"/>
        <w:tabs>
          <w:tab w:val="left" w:pos="1440" w:leader="none"/>
        </w:tabs>
        <w:spacing w:lineRule="auto" w:line="360"/>
        <w:jc w:val="both"/>
        <w:rPr>
          <w:lang w:val="es-ES"/>
        </w:rPr>
      </w:pPr>
      <w:bookmarkStart w:id="0" w:name="_GoBack"/>
      <w:bookmarkStart w:id="1" w:name="_GoBack"/>
      <w:bookmarkEnd w:id="1"/>
      <w:r>
        <w:rPr>
          <w:lang w:val="es-ES"/>
        </w:rPr>
      </w:r>
    </w:p>
    <w:p>
      <w:pPr>
        <w:pStyle w:val="Normal"/>
        <w:tabs>
          <w:tab w:val="left" w:pos="720" w:leader="none"/>
          <w:tab w:val="left" w:pos="1440" w:leader="none"/>
        </w:tabs>
        <w:spacing w:lineRule="auto" w:line="360"/>
        <w:jc w:val="both"/>
        <w:rPr/>
      </w:pPr>
      <w:r>
        <w:rPr/>
      </w:r>
    </w:p>
    <w:sectPr>
      <w:type w:val="nextPage"/>
      <w:pgSz w:w="12240" w:h="15840"/>
      <w:pgMar w:left="1701" w:right="1701" w:header="0" w:top="1417" w:footer="0" w:bottom="1417"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Liberation Sans">
    <w:altName w:val="Arial"/>
    <w:charset w:val="01"/>
    <w:family w:val="swiss"/>
    <w:pitch w:val="variable"/>
  </w:font>
  <w:font w:name="Arial">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 w:name="Times New Roman">
    <w:charset w:val="01"/>
    <w:family w:val="roman"/>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5">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6"/>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s-MX"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a693e"/>
    <w:pPr>
      <w:widowControl/>
      <w:bidi w:val="0"/>
      <w:spacing w:lineRule="auto" w:line="240" w:before="0" w:after="0"/>
      <w:jc w:val="left"/>
    </w:pPr>
    <w:rPr>
      <w:rFonts w:ascii="Times New Roman" w:hAnsi="Times New Roman" w:eastAsia="Times New Roman" w:cs="Times New Roman"/>
      <w:color w:val="auto"/>
      <w:sz w:val="24"/>
      <w:szCs w:val="24"/>
      <w:lang w:val="en-US" w:eastAsia="en-US" w:bidi="ar-SA"/>
    </w:rPr>
  </w:style>
  <w:style w:type="character" w:styleId="DefaultParagraphFont" w:default="1">
    <w:name w:val="Default Paragraph Font"/>
    <w:uiPriority w:val="1"/>
    <w:unhideWhenUsed/>
    <w:qFormat/>
    <w:rPr/>
  </w:style>
  <w:style w:type="character" w:styleId="EnlacedeInternet">
    <w:name w:val="Enlace de Internet"/>
    <w:basedOn w:val="DefaultParagraphFont"/>
    <w:uiPriority w:val="99"/>
    <w:unhideWhenUsed/>
    <w:rsid w:val="00fa693e"/>
    <w:rPr>
      <w:color w:val="0563C1" w:themeColor="hyperlink"/>
      <w:u w:val="single"/>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paragraph" w:styleId="Encabezado">
    <w:name w:val="Encabezado"/>
    <w:basedOn w:val="Normal"/>
    <w:next w:val="Cuerpodetexto"/>
    <w:qFormat/>
    <w:pPr>
      <w:keepNext/>
      <w:spacing w:before="240" w:after="120"/>
    </w:pPr>
    <w:rPr>
      <w:rFonts w:ascii="Liberation Sans" w:hAnsi="Liberation Sans" w:eastAsia="Noto Sans CJK SC Regular" w:cs="FreeSans"/>
      <w:sz w:val="28"/>
      <w:szCs w:val="28"/>
    </w:rPr>
  </w:style>
  <w:style w:type="paragraph" w:styleId="Cuerpodetexto">
    <w:name w:val="Body Text"/>
    <w:basedOn w:val="Normal"/>
    <w:pPr>
      <w:spacing w:lineRule="auto" w:line="288" w:before="0" w:after="140"/>
    </w:pPr>
    <w:rPr/>
  </w:style>
  <w:style w:type="paragraph" w:styleId="Lista">
    <w:name w:val="List"/>
    <w:basedOn w:val="Cuerpodetexto"/>
    <w:pPr/>
    <w:rPr>
      <w:rFonts w:cs="FreeSans"/>
    </w:rPr>
  </w:style>
  <w:style w:type="paragraph" w:styleId="Leyenda">
    <w:name w:val="Caption"/>
    <w:basedOn w:val="Normal"/>
    <w:qFormat/>
    <w:pPr>
      <w:suppressLineNumbers/>
      <w:spacing w:before="120" w:after="120"/>
    </w:pPr>
    <w:rPr>
      <w:rFonts w:cs="FreeSans"/>
      <w:i/>
      <w:iCs/>
      <w:sz w:val="24"/>
      <w:szCs w:val="24"/>
    </w:rPr>
  </w:style>
  <w:style w:type="paragraph" w:styleId="Ndice">
    <w:name w:val="Índice"/>
    <w:basedOn w:val="Normal"/>
    <w:qFormat/>
    <w:pPr>
      <w:suppressLineNumbers/>
    </w:pPr>
    <w:rPr>
      <w:rFonts w:cs="FreeSans"/>
    </w:rPr>
  </w:style>
  <w:style w:type="paragraph" w:styleId="ListParagraph">
    <w:name w:val="List Paragraph"/>
    <w:basedOn w:val="Normal"/>
    <w:uiPriority w:val="34"/>
    <w:qFormat/>
    <w:rsid w:val="00fa693e"/>
    <w:pPr>
      <w:spacing w:before="0" w:after="0"/>
      <w:ind w:left="720" w:hanging="0"/>
      <w:contextualSpacing/>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 TargetMode="External"/><Relationship Id="rId3" Type="http://schemas.openxmlformats.org/officeDocument/2006/relationships/hyperlink" Target="" TargetMode="External"/><Relationship Id="rId4" Type="http://schemas.openxmlformats.org/officeDocument/2006/relationships/hyperlink" Target="" TargetMode="External"/><Relationship Id="rId5" Type="http://schemas.openxmlformats.org/officeDocument/2006/relationships/hyperlink" Target="" TargetMode="External"/><Relationship Id="rId6" Type="http://schemas.openxmlformats.org/officeDocument/2006/relationships/hyperlink" Target="" TargetMode="External"/><Relationship Id="rId7" Type="http://schemas.openxmlformats.org/officeDocument/2006/relationships/hyperlink" Target="" TargetMode="External"/><Relationship Id="rId8" Type="http://schemas.openxmlformats.org/officeDocument/2006/relationships/hyperlink" Target="" TargetMode="External"/><Relationship Id="rId9" Type="http://schemas.openxmlformats.org/officeDocument/2006/relationships/hyperlink" Target=""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yperlink" Target="" TargetMode="External"/><Relationship Id="rId20" Type="http://schemas.openxmlformats.org/officeDocument/2006/relationships/hyperlink" Target="" TargetMode="External"/><Relationship Id="rId21" Type="http://schemas.openxmlformats.org/officeDocument/2006/relationships/hyperlink" Target="" TargetMode="External"/><Relationship Id="rId22" Type="http://schemas.openxmlformats.org/officeDocument/2006/relationships/hyperlink" Target="" TargetMode="External"/><Relationship Id="rId23" Type="http://schemas.openxmlformats.org/officeDocument/2006/relationships/hyperlink" Target="" TargetMode="External"/><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Application>LibreOffice/5.1.4.2$Linux_X86_64 LibreOffice_project/10m0$Build-2</Application>
  <Pages>7</Pages>
  <Words>386</Words>
  <Characters>2480</Characters>
  <CharactersWithSpaces>2829</CharactersWithSpaces>
  <Paragraphs>51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2020-03-24T16:47:00Z</dcterms:created>
  <dc:creator>Gladys Tartabull</dc:creator>
  <dc:description/>
  <dc:language>es-CU</dc:language>
  <cp:lastModifiedBy/>
  <dcterms:modified xsi:type="dcterms:W3CDTF">2020-03-25T21:41:41Z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