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605D38">
        <w:rPr>
          <w:rFonts w:ascii="Arial" w:hAnsi="Arial" w:cs="Arial"/>
          <w:b/>
          <w:sz w:val="24"/>
          <w:szCs w:val="24"/>
        </w:rPr>
        <w:t xml:space="preserve"> Técnicos en Enfermería</w:t>
      </w:r>
      <w:r w:rsidR="00F72517">
        <w:rPr>
          <w:rFonts w:ascii="Arial" w:hAnsi="Arial" w:cs="Arial"/>
          <w:b/>
          <w:sz w:val="24"/>
          <w:szCs w:val="24"/>
        </w:rPr>
        <w:t xml:space="preserve">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605D38">
        <w:rPr>
          <w:rFonts w:ascii="Arial" w:hAnsi="Arial" w:cs="Arial"/>
          <w:b/>
          <w:sz w:val="24"/>
          <w:szCs w:val="24"/>
        </w:rPr>
        <w:t xml:space="preserve"> Farmacología.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r w:rsidR="00605D38">
        <w:rPr>
          <w:rFonts w:ascii="Arial" w:hAnsi="Arial" w:cs="Arial"/>
          <w:b/>
          <w:sz w:val="24"/>
          <w:szCs w:val="24"/>
        </w:rPr>
        <w:t>MSc. María Ayala Viamontes.</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05D38" w:rsidRPr="004A58FD">
        <w:rPr>
          <w:rFonts w:ascii="Arial" w:hAnsi="Arial" w:cs="Arial"/>
          <w:b/>
          <w:sz w:val="24"/>
          <w:szCs w:val="24"/>
        </w:rPr>
        <w:t>Farmacología</w:t>
      </w:r>
      <w:r w:rsidRPr="004A58FD">
        <w:rPr>
          <w:rFonts w:ascii="Arial" w:hAnsi="Arial" w:cs="Arial"/>
          <w:b/>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 xml:space="preserve">Este tipo de enseñanza exige de usted la utilización de  estrategias de aprendizaje que faciliten el estudio y hagan más eficiente el proceso de interiorización de la información que debe asimilar. Por ello, le proponemos </w:t>
      </w:r>
      <w:r w:rsidR="00F72517">
        <w:rPr>
          <w:rFonts w:ascii="Arial" w:hAnsi="Arial" w:cs="Arial"/>
          <w:sz w:val="24"/>
          <w:szCs w:val="24"/>
        </w:rPr>
        <w:t>l</w:t>
      </w:r>
      <w:r w:rsidRPr="00137867">
        <w:rPr>
          <w:rFonts w:ascii="Arial" w:hAnsi="Arial" w:cs="Arial"/>
          <w:sz w:val="24"/>
          <w:szCs w:val="24"/>
        </w:rPr>
        <w:t>a estrategia de estudio que se describe a continuación:</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F72517">
        <w:rPr>
          <w:rFonts w:ascii="Arial" w:hAnsi="Arial" w:cs="Arial"/>
          <w:b/>
          <w:sz w:val="24"/>
          <w:szCs w:val="24"/>
        </w:rPr>
        <w:t xml:space="preserve">Básica </w:t>
      </w:r>
      <w:r w:rsidR="0021116F" w:rsidRPr="0021116F">
        <w:rPr>
          <w:rFonts w:ascii="Arial" w:hAnsi="Arial" w:cs="Arial"/>
          <w:sz w:val="24"/>
          <w:szCs w:val="24"/>
        </w:rPr>
        <w:t xml:space="preserve">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w:t>
      </w:r>
      <w:r w:rsidR="00F72517">
        <w:rPr>
          <w:rFonts w:ascii="Arial" w:hAnsi="Arial" w:cs="Arial"/>
          <w:sz w:val="24"/>
          <w:szCs w:val="24"/>
        </w:rPr>
        <w:t xml:space="preserve"> y sus</w:t>
      </w:r>
      <w:r w:rsidR="0021116F">
        <w:rPr>
          <w:rFonts w:ascii="Arial" w:hAnsi="Arial" w:cs="Arial"/>
          <w:sz w:val="24"/>
          <w:szCs w:val="24"/>
        </w:rPr>
        <w:t xml:space="preserve">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B85420" w:rsidRPr="00B85420" w:rsidRDefault="00B85420" w:rsidP="00B85420">
      <w:pPr>
        <w:spacing w:after="0"/>
        <w:rPr>
          <w:rFonts w:ascii="Arial" w:hAnsi="Arial" w:cs="Arial"/>
          <w:b/>
          <w:sz w:val="24"/>
          <w:szCs w:val="24"/>
        </w:rPr>
      </w:pPr>
      <w:bookmarkStart w:id="0" w:name="_GoBack"/>
      <w:bookmarkEnd w:id="0"/>
      <w:r w:rsidRPr="00B85420">
        <w:rPr>
          <w:rFonts w:ascii="Arial" w:hAnsi="Arial" w:cs="Arial"/>
          <w:b/>
          <w:sz w:val="24"/>
          <w:szCs w:val="24"/>
          <w:u w:val="single"/>
          <w:lang w:val="es-ES_tradnl"/>
        </w:rPr>
        <w:t>Tema 7:</w:t>
      </w:r>
      <w:r w:rsidRPr="00B85420">
        <w:rPr>
          <w:rFonts w:ascii="Arial" w:hAnsi="Arial" w:cs="Arial"/>
          <w:b/>
          <w:sz w:val="24"/>
          <w:szCs w:val="24"/>
          <w:lang w:val="es-ES_tradnl"/>
        </w:rPr>
        <w:t xml:space="preserve"> </w:t>
      </w:r>
      <w:r w:rsidR="007C5F94">
        <w:rPr>
          <w:rFonts w:ascii="Arial" w:hAnsi="Arial" w:cs="Arial"/>
          <w:b/>
          <w:sz w:val="24"/>
          <w:szCs w:val="24"/>
          <w:lang w:val="es-ES_tradnl"/>
        </w:rPr>
        <w:t xml:space="preserve">(Continuación 2da parte). </w:t>
      </w:r>
      <w:r w:rsidRPr="00B85420">
        <w:rPr>
          <w:rFonts w:ascii="Arial" w:hAnsi="Arial" w:cs="Arial"/>
          <w:b/>
          <w:sz w:val="24"/>
          <w:szCs w:val="24"/>
        </w:rPr>
        <w:t>Fármacos utilizados en el tratamiento de las Enfermedades del Sistema Endocrino.</w:t>
      </w:r>
      <w:r w:rsidR="00D46268" w:rsidRPr="00D46268">
        <w:rPr>
          <w:rFonts w:ascii="Arial" w:eastAsia="Times New Roman" w:hAnsi="Arial" w:cs="Arial"/>
          <w:sz w:val="24"/>
          <w:szCs w:val="24"/>
          <w:lang w:val="es-ES_tradnl" w:eastAsia="es-ES"/>
        </w:rPr>
        <w:t xml:space="preserve"> </w:t>
      </w:r>
      <w:r w:rsidR="00D46268" w:rsidRPr="00D46268">
        <w:rPr>
          <w:rFonts w:ascii="Arial" w:hAnsi="Arial" w:cs="Arial"/>
          <w:b/>
          <w:sz w:val="24"/>
          <w:szCs w:val="24"/>
          <w:lang w:val="es-ES_tradnl"/>
        </w:rPr>
        <w:t>Hipo e Hipertiroidismo</w:t>
      </w:r>
    </w:p>
    <w:p w:rsidR="00B85420" w:rsidRPr="00B85420" w:rsidRDefault="00B85420" w:rsidP="00B85420">
      <w:pPr>
        <w:spacing w:after="0"/>
        <w:rPr>
          <w:rFonts w:ascii="Arial" w:hAnsi="Arial" w:cs="Arial"/>
          <w:sz w:val="24"/>
          <w:szCs w:val="24"/>
          <w:lang w:val="es-ES_tradnl"/>
        </w:rPr>
      </w:pPr>
    </w:p>
    <w:p w:rsidR="00B85420" w:rsidRPr="00B85420" w:rsidRDefault="00B85420" w:rsidP="00B85420">
      <w:pPr>
        <w:spacing w:after="0"/>
        <w:rPr>
          <w:rFonts w:ascii="Arial" w:hAnsi="Arial" w:cs="Arial"/>
          <w:b/>
          <w:sz w:val="24"/>
          <w:szCs w:val="24"/>
          <w:u w:val="single"/>
          <w:lang w:val="es-ES_tradnl"/>
        </w:rPr>
      </w:pPr>
      <w:r w:rsidRPr="00B85420">
        <w:rPr>
          <w:rFonts w:ascii="Arial" w:hAnsi="Arial" w:cs="Arial"/>
          <w:b/>
          <w:sz w:val="24"/>
          <w:szCs w:val="24"/>
          <w:u w:val="single"/>
          <w:lang w:val="es-ES_tradnl"/>
        </w:rPr>
        <w:t>Objetivos del tema:</w:t>
      </w:r>
    </w:p>
    <w:p w:rsidR="00B85420" w:rsidRPr="00B85420" w:rsidRDefault="00B85420" w:rsidP="00B85420">
      <w:pPr>
        <w:spacing w:after="0"/>
        <w:rPr>
          <w:rFonts w:ascii="Arial" w:hAnsi="Arial" w:cs="Arial"/>
          <w:sz w:val="24"/>
          <w:szCs w:val="24"/>
          <w:lang w:val="es-ES_tradnl"/>
        </w:rPr>
      </w:pPr>
      <w:r>
        <w:rPr>
          <w:rFonts w:ascii="Arial" w:hAnsi="Arial" w:cs="Arial"/>
          <w:sz w:val="24"/>
          <w:szCs w:val="24"/>
          <w:lang w:val="es-ES_tradnl"/>
        </w:rPr>
        <w:t xml:space="preserve">-Identificar el tratamiento del </w:t>
      </w:r>
      <w:r w:rsidRPr="00B85420">
        <w:rPr>
          <w:rFonts w:ascii="Arial" w:hAnsi="Arial" w:cs="Arial"/>
          <w:sz w:val="24"/>
          <w:szCs w:val="24"/>
          <w:lang w:val="es-ES_tradnl"/>
        </w:rPr>
        <w:t xml:space="preserve"> Hipo e Hipertiroidismo, teniendo en cuenta sus  características fisiopatológicas  esenciales y aplicándolos a cada  situación  en particular.</w:t>
      </w:r>
    </w:p>
    <w:p w:rsidR="00B85420" w:rsidRDefault="00B85420" w:rsidP="00B85420">
      <w:pPr>
        <w:spacing w:after="0"/>
        <w:rPr>
          <w:rFonts w:ascii="Arial" w:hAnsi="Arial" w:cs="Arial"/>
          <w:sz w:val="24"/>
          <w:szCs w:val="24"/>
          <w:lang w:val="es-ES_tradnl"/>
        </w:rPr>
      </w:pPr>
      <w:r w:rsidRPr="00B85420">
        <w:rPr>
          <w:rFonts w:ascii="Arial" w:hAnsi="Arial" w:cs="Arial"/>
          <w:sz w:val="24"/>
          <w:szCs w:val="24"/>
          <w:lang w:val="es-ES_tradnl"/>
        </w:rPr>
        <w:t xml:space="preserve">Identificar  las principales reacciones indeseables,  contraindicaciones e interacciones basándose en la interpretación de las acciones  farmacológicas  y  las </w:t>
      </w:r>
      <w:r>
        <w:rPr>
          <w:rFonts w:ascii="Arial" w:hAnsi="Arial" w:cs="Arial"/>
          <w:sz w:val="24"/>
          <w:szCs w:val="24"/>
          <w:lang w:val="es-ES_tradnl"/>
        </w:rPr>
        <w:t>vías de administración.</w:t>
      </w:r>
    </w:p>
    <w:p w:rsidR="00B85420" w:rsidRDefault="00D46268" w:rsidP="00B85420">
      <w:pPr>
        <w:spacing w:after="0"/>
        <w:rPr>
          <w:rFonts w:ascii="Arial" w:hAnsi="Arial" w:cs="Arial"/>
          <w:sz w:val="24"/>
          <w:szCs w:val="24"/>
          <w:lang w:val="es-ES_tradnl"/>
        </w:rPr>
      </w:pPr>
      <w:r>
        <w:rPr>
          <w:rFonts w:ascii="Arial" w:hAnsi="Arial" w:cs="Arial"/>
          <w:sz w:val="24"/>
          <w:szCs w:val="24"/>
          <w:lang w:val="es-ES_tradnl"/>
        </w:rPr>
        <w:lastRenderedPageBreak/>
        <w:t xml:space="preserve"> </w:t>
      </w:r>
    </w:p>
    <w:p w:rsidR="00B85420" w:rsidRDefault="00B85420" w:rsidP="00B85420">
      <w:pPr>
        <w:spacing w:after="0"/>
        <w:rPr>
          <w:rFonts w:ascii="Arial" w:hAnsi="Arial" w:cs="Arial"/>
          <w:sz w:val="24"/>
          <w:szCs w:val="24"/>
          <w:lang w:val="es-ES_tradnl"/>
        </w:rPr>
      </w:pPr>
    </w:p>
    <w:p w:rsidR="00B85420" w:rsidRPr="00B85420" w:rsidRDefault="00B85420" w:rsidP="00B85420">
      <w:pPr>
        <w:spacing w:after="0"/>
        <w:rPr>
          <w:rFonts w:ascii="Arial" w:hAnsi="Arial" w:cs="Arial"/>
          <w:b/>
          <w:sz w:val="24"/>
          <w:szCs w:val="24"/>
          <w:u w:val="single"/>
          <w:lang w:val="es-ES_tradnl"/>
        </w:rPr>
      </w:pPr>
    </w:p>
    <w:p w:rsidR="00B85420" w:rsidRPr="00B85420" w:rsidRDefault="00B85420" w:rsidP="00B85420">
      <w:pPr>
        <w:spacing w:after="0"/>
        <w:rPr>
          <w:rFonts w:ascii="Arial" w:hAnsi="Arial" w:cs="Arial"/>
          <w:sz w:val="24"/>
          <w:szCs w:val="24"/>
          <w:u w:val="single"/>
          <w:lang w:val="es-ES_tradnl"/>
        </w:rPr>
      </w:pPr>
      <w:r w:rsidRPr="00B85420">
        <w:rPr>
          <w:rFonts w:ascii="Arial" w:hAnsi="Arial" w:cs="Arial"/>
          <w:b/>
          <w:sz w:val="24"/>
          <w:szCs w:val="24"/>
          <w:u w:val="single"/>
          <w:lang w:val="es-ES_tradnl"/>
        </w:rPr>
        <w:t>Contenido:</w:t>
      </w:r>
      <w:r w:rsidRPr="00B85420">
        <w:rPr>
          <w:rFonts w:ascii="Arial" w:hAnsi="Arial" w:cs="Arial"/>
          <w:sz w:val="24"/>
          <w:szCs w:val="24"/>
          <w:u w:val="single"/>
          <w:lang w:val="es-ES_tradnl"/>
        </w:rPr>
        <w:t xml:space="preserve"> </w:t>
      </w:r>
    </w:p>
    <w:p w:rsidR="00B85420" w:rsidRPr="00B85420" w:rsidRDefault="00B85420" w:rsidP="00B85420">
      <w:pPr>
        <w:widowControl w:val="0"/>
        <w:autoSpaceDE w:val="0"/>
        <w:autoSpaceDN w:val="0"/>
        <w:spacing w:after="0" w:line="240" w:lineRule="auto"/>
        <w:jc w:val="both"/>
        <w:rPr>
          <w:rFonts w:ascii="Arial" w:eastAsia="Times New Roman" w:hAnsi="Arial" w:cs="Arial"/>
          <w:sz w:val="24"/>
          <w:szCs w:val="24"/>
          <w:lang w:val="es-ES_tradnl" w:eastAsia="es-ES"/>
        </w:rPr>
      </w:pPr>
      <w:r w:rsidRPr="00B85420">
        <w:rPr>
          <w:rFonts w:ascii="Arial" w:eastAsia="Times New Roman" w:hAnsi="Arial" w:cs="Arial"/>
          <w:sz w:val="24"/>
          <w:szCs w:val="24"/>
          <w:lang w:val="es-ES_tradnl" w:eastAsia="es-ES"/>
        </w:rPr>
        <w:t xml:space="preserve">Hipo e Hipertiroidismo. </w:t>
      </w:r>
    </w:p>
    <w:p w:rsidR="00B85420" w:rsidRPr="00B85420" w:rsidRDefault="00B85420" w:rsidP="00B85420">
      <w:pPr>
        <w:widowControl w:val="0"/>
        <w:spacing w:after="0" w:line="240" w:lineRule="auto"/>
        <w:jc w:val="both"/>
        <w:rPr>
          <w:rFonts w:ascii="Arial" w:eastAsia="Times New Roman" w:hAnsi="Arial" w:cs="Arial"/>
          <w:sz w:val="24"/>
          <w:szCs w:val="24"/>
          <w:lang w:val="es-ES_tradnl" w:eastAsia="es-ES"/>
        </w:rPr>
      </w:pPr>
      <w:r w:rsidRPr="00B85420">
        <w:rPr>
          <w:rFonts w:ascii="Arial" w:eastAsia="Times New Roman" w:hAnsi="Arial" w:cs="Arial"/>
          <w:sz w:val="24"/>
          <w:szCs w:val="24"/>
          <w:lang w:val="es-ES_tradnl" w:eastAsia="es-ES"/>
        </w:rPr>
        <w:t>Levotiroxina, Liolevo B</w:t>
      </w:r>
      <w:r w:rsidRPr="00B85420">
        <w:rPr>
          <w:rFonts w:ascii="Arial" w:eastAsia="Times New Roman" w:hAnsi="Arial" w:cs="Arial"/>
          <w:sz w:val="24"/>
          <w:szCs w:val="24"/>
          <w:vertAlign w:val="subscript"/>
          <w:lang w:val="es-ES_tradnl" w:eastAsia="es-ES"/>
        </w:rPr>
        <w:t>.</w:t>
      </w:r>
      <w:r w:rsidRPr="00B85420">
        <w:rPr>
          <w:rFonts w:ascii="Arial" w:eastAsia="Times New Roman" w:hAnsi="Arial" w:cs="Arial"/>
          <w:sz w:val="24"/>
          <w:szCs w:val="24"/>
          <w:lang w:val="es-ES_tradnl" w:eastAsia="es-ES"/>
        </w:rPr>
        <w:t xml:space="preserve"> Propiltiouracilo, Metimazol</w:t>
      </w:r>
      <w:r>
        <w:rPr>
          <w:rFonts w:ascii="Arial" w:eastAsia="Times New Roman" w:hAnsi="Arial" w:cs="Arial"/>
          <w:sz w:val="24"/>
          <w:szCs w:val="24"/>
          <w:lang w:val="es-ES_tradnl" w:eastAsia="es-ES"/>
        </w:rPr>
        <w:t>, Yoduros, Y</w:t>
      </w:r>
      <w:r w:rsidRPr="00B85420">
        <w:rPr>
          <w:rFonts w:ascii="Arial" w:eastAsia="Times New Roman" w:hAnsi="Arial" w:cs="Arial"/>
          <w:sz w:val="24"/>
          <w:szCs w:val="24"/>
          <w:lang w:val="es-ES_tradnl" w:eastAsia="es-ES"/>
        </w:rPr>
        <w:t>odo radiactivo, Acciones farmacológicas. Reacciones indeseables. Interacciones.  Contraindicaciones. Preparados y vías de administración.</w:t>
      </w:r>
    </w:p>
    <w:p w:rsidR="00B85420" w:rsidRPr="00B85420" w:rsidRDefault="00B85420" w:rsidP="00B85420">
      <w:pPr>
        <w:widowControl w:val="0"/>
        <w:spacing w:after="0" w:line="240" w:lineRule="auto"/>
        <w:jc w:val="both"/>
        <w:rPr>
          <w:rFonts w:ascii="Arial" w:eastAsia="Times New Roman" w:hAnsi="Arial" w:cs="Arial"/>
          <w:sz w:val="24"/>
          <w:szCs w:val="24"/>
          <w:lang w:val="es-ES_tradnl" w:eastAsia="es-ES"/>
        </w:rPr>
      </w:pPr>
    </w:p>
    <w:p w:rsidR="00B85420" w:rsidRPr="00B85420" w:rsidRDefault="00B85420" w:rsidP="00B85420">
      <w:pPr>
        <w:widowControl w:val="0"/>
        <w:spacing w:after="0" w:line="240" w:lineRule="auto"/>
        <w:jc w:val="both"/>
        <w:rPr>
          <w:rFonts w:ascii="Arial" w:eastAsia="Times New Roman" w:hAnsi="Arial" w:cs="Arial"/>
          <w:sz w:val="24"/>
          <w:szCs w:val="24"/>
          <w:lang w:val="es-ES_tradnl" w:eastAsia="es-ES"/>
        </w:rPr>
      </w:pPr>
      <w:r w:rsidRPr="00B85420">
        <w:rPr>
          <w:rFonts w:ascii="Arial" w:eastAsia="Times New Roman" w:hAnsi="Arial" w:cs="Arial"/>
          <w:sz w:val="24"/>
          <w:szCs w:val="24"/>
          <w:lang w:val="es-ES_tradnl" w:eastAsia="es-ES"/>
        </w:rPr>
        <w:t>-Anticonceptivos hormonales</w:t>
      </w:r>
    </w:p>
    <w:p w:rsidR="00B85420" w:rsidRPr="00B85420" w:rsidRDefault="00B85420" w:rsidP="00B85420">
      <w:pPr>
        <w:widowControl w:val="0"/>
        <w:spacing w:after="0" w:line="240" w:lineRule="auto"/>
        <w:jc w:val="both"/>
        <w:rPr>
          <w:rFonts w:ascii="Arial" w:eastAsia="Times New Roman" w:hAnsi="Arial" w:cs="Arial"/>
          <w:sz w:val="24"/>
          <w:szCs w:val="24"/>
          <w:lang w:val="es-ES_tradnl" w:eastAsia="es-ES"/>
        </w:rPr>
      </w:pPr>
      <w:r w:rsidRPr="00B85420">
        <w:rPr>
          <w:rFonts w:ascii="Arial" w:eastAsia="Times New Roman" w:hAnsi="Arial" w:cs="Arial"/>
          <w:sz w:val="24"/>
          <w:szCs w:val="24"/>
          <w:lang w:val="es-ES_tradnl" w:eastAsia="es-ES"/>
        </w:rPr>
        <w:t>Clasificación. Acciones farmacológicas. Reacciones  indeseables. Interacciones.  Contraindicaciones. Preparados y vías de administración.</w:t>
      </w:r>
    </w:p>
    <w:p w:rsidR="00B85420" w:rsidRPr="00B85420" w:rsidRDefault="00B85420" w:rsidP="00B85420">
      <w:pPr>
        <w:widowControl w:val="0"/>
        <w:spacing w:after="0" w:line="240" w:lineRule="auto"/>
        <w:jc w:val="both"/>
        <w:rPr>
          <w:rFonts w:ascii="Arial" w:eastAsia="Times New Roman" w:hAnsi="Arial" w:cs="Arial"/>
          <w:sz w:val="24"/>
          <w:szCs w:val="24"/>
          <w:lang w:val="es-ES_tradnl" w:eastAsia="es-ES"/>
        </w:rPr>
      </w:pPr>
    </w:p>
    <w:p w:rsidR="00B85420" w:rsidRPr="00B85420" w:rsidRDefault="00B85420" w:rsidP="00B85420">
      <w:pPr>
        <w:spacing w:after="0"/>
        <w:rPr>
          <w:rFonts w:ascii="Arial" w:hAnsi="Arial" w:cs="Arial"/>
          <w:b/>
          <w:sz w:val="24"/>
          <w:szCs w:val="24"/>
          <w:lang w:val="es-ES_tradnl"/>
        </w:rPr>
      </w:pPr>
    </w:p>
    <w:p w:rsidR="00B85420" w:rsidRPr="00B85420" w:rsidRDefault="00B85420" w:rsidP="00B85420">
      <w:pPr>
        <w:spacing w:after="0"/>
        <w:rPr>
          <w:rFonts w:ascii="Arial" w:hAnsi="Arial" w:cs="Arial"/>
          <w:b/>
          <w:sz w:val="24"/>
          <w:szCs w:val="24"/>
          <w:lang w:val="es-ES_tradnl"/>
        </w:rPr>
      </w:pPr>
    </w:p>
    <w:p w:rsidR="00B85420" w:rsidRPr="00B85420" w:rsidRDefault="00B85420" w:rsidP="00B85420">
      <w:pPr>
        <w:spacing w:after="0"/>
        <w:rPr>
          <w:rFonts w:ascii="Arial" w:hAnsi="Arial" w:cs="Arial"/>
          <w:b/>
          <w:sz w:val="24"/>
          <w:szCs w:val="24"/>
          <w:lang w:val="es-ES_tradnl"/>
        </w:rPr>
      </w:pPr>
    </w:p>
    <w:p w:rsidR="00B85420" w:rsidRPr="00B85420" w:rsidRDefault="00B85420" w:rsidP="00B85420">
      <w:pPr>
        <w:spacing w:after="0"/>
        <w:rPr>
          <w:rFonts w:ascii="Arial" w:hAnsi="Arial" w:cs="Arial"/>
          <w:b/>
          <w:sz w:val="24"/>
          <w:szCs w:val="24"/>
          <w:lang w:val="es-ES_tradnl"/>
        </w:rPr>
      </w:pPr>
      <w:r w:rsidRPr="00B85420">
        <w:rPr>
          <w:rFonts w:ascii="Arial" w:hAnsi="Arial" w:cs="Arial"/>
          <w:b/>
          <w:sz w:val="24"/>
          <w:szCs w:val="24"/>
          <w:lang w:val="es-ES_tradnl"/>
        </w:rPr>
        <w:t>Tareas a realizar para el estudio independiente:</w:t>
      </w:r>
    </w:p>
    <w:p w:rsidR="00B85420" w:rsidRPr="00B85420" w:rsidRDefault="00B85420" w:rsidP="00B85420">
      <w:pPr>
        <w:spacing w:after="0"/>
        <w:rPr>
          <w:rFonts w:ascii="Arial" w:hAnsi="Arial" w:cs="Arial"/>
          <w:b/>
          <w:sz w:val="24"/>
          <w:szCs w:val="24"/>
          <w:lang w:val="es-ES_tradnl"/>
        </w:rPr>
      </w:pPr>
    </w:p>
    <w:p w:rsidR="00B85420" w:rsidRPr="00B85420" w:rsidRDefault="00B85420" w:rsidP="00B85420">
      <w:pPr>
        <w:spacing w:after="0"/>
        <w:rPr>
          <w:rFonts w:ascii="Arial" w:hAnsi="Arial" w:cs="Arial"/>
          <w:sz w:val="24"/>
          <w:szCs w:val="24"/>
          <w:lang w:val="es-ES_tradnl"/>
        </w:rPr>
      </w:pPr>
      <w:r w:rsidRPr="00B85420">
        <w:rPr>
          <w:rFonts w:ascii="Arial" w:hAnsi="Arial" w:cs="Arial"/>
          <w:sz w:val="24"/>
          <w:szCs w:val="24"/>
          <w:lang w:val="es-ES_tradnl"/>
        </w:rPr>
        <w:t xml:space="preserve">Después que hayas realizado la lectura de la bibliografía básica orientada, estarás en disposición de iniciar el trabajo independiente relacionado con este tema: </w:t>
      </w:r>
    </w:p>
    <w:p w:rsidR="00B85420" w:rsidRPr="00B85420" w:rsidRDefault="00B85420" w:rsidP="00B85420">
      <w:pPr>
        <w:numPr>
          <w:ilvl w:val="0"/>
          <w:numId w:val="4"/>
        </w:numPr>
        <w:spacing w:after="0"/>
        <w:rPr>
          <w:rFonts w:ascii="Arial" w:hAnsi="Arial" w:cs="Arial"/>
          <w:sz w:val="24"/>
          <w:szCs w:val="24"/>
        </w:rPr>
      </w:pPr>
      <w:r w:rsidRPr="00B85420">
        <w:rPr>
          <w:rFonts w:ascii="Arial" w:hAnsi="Arial" w:cs="Arial"/>
          <w:sz w:val="24"/>
          <w:szCs w:val="24"/>
        </w:rPr>
        <w:t>Lee detenidamente la Bibliografía Básica.</w:t>
      </w:r>
    </w:p>
    <w:p w:rsidR="00B85420" w:rsidRPr="00B85420" w:rsidRDefault="00B85420" w:rsidP="00B85420">
      <w:pPr>
        <w:numPr>
          <w:ilvl w:val="0"/>
          <w:numId w:val="4"/>
        </w:numPr>
        <w:spacing w:after="0"/>
        <w:rPr>
          <w:rFonts w:ascii="Arial" w:hAnsi="Arial" w:cs="Arial"/>
          <w:sz w:val="24"/>
          <w:szCs w:val="24"/>
        </w:rPr>
      </w:pPr>
      <w:r w:rsidRPr="00B85420">
        <w:rPr>
          <w:rFonts w:ascii="Arial" w:hAnsi="Arial" w:cs="Arial"/>
          <w:sz w:val="24"/>
          <w:szCs w:val="24"/>
        </w:rPr>
        <w:t xml:space="preserve">Trata de contestar cada una de las tareas que a continuación se exponen. </w:t>
      </w:r>
    </w:p>
    <w:p w:rsidR="00B85420" w:rsidRPr="00B85420" w:rsidRDefault="00B85420" w:rsidP="00B85420">
      <w:pPr>
        <w:numPr>
          <w:ilvl w:val="0"/>
          <w:numId w:val="4"/>
        </w:numPr>
        <w:spacing w:after="0"/>
        <w:rPr>
          <w:rFonts w:ascii="Arial" w:hAnsi="Arial" w:cs="Arial"/>
          <w:sz w:val="24"/>
          <w:szCs w:val="24"/>
        </w:rPr>
      </w:pPr>
      <w:r w:rsidRPr="00B85420">
        <w:rPr>
          <w:rFonts w:ascii="Arial" w:hAnsi="Arial" w:cs="Arial"/>
          <w:sz w:val="24"/>
          <w:szCs w:val="24"/>
        </w:rPr>
        <w:t xml:space="preserve">Confecciona un resumen de cada una de ellas, pues te servirán posteriormente para tu estudio individual. </w:t>
      </w:r>
    </w:p>
    <w:p w:rsidR="00B85420" w:rsidRPr="00B85420" w:rsidRDefault="00B85420" w:rsidP="00B85420">
      <w:pPr>
        <w:spacing w:after="0"/>
        <w:rPr>
          <w:rFonts w:ascii="Arial" w:hAnsi="Arial" w:cs="Arial"/>
          <w:sz w:val="24"/>
          <w:szCs w:val="24"/>
        </w:rPr>
      </w:pPr>
    </w:p>
    <w:p w:rsidR="00B85420" w:rsidRPr="00B85420" w:rsidRDefault="00B85420" w:rsidP="00B85420">
      <w:pPr>
        <w:spacing w:after="0"/>
        <w:rPr>
          <w:rFonts w:ascii="Arial" w:hAnsi="Arial" w:cs="Arial"/>
          <w:b/>
          <w:bCs/>
          <w:sz w:val="24"/>
          <w:szCs w:val="24"/>
          <w:lang w:val="es-ES"/>
        </w:rPr>
      </w:pPr>
      <w:r w:rsidRPr="00B85420">
        <w:rPr>
          <w:rFonts w:ascii="Arial" w:hAnsi="Arial" w:cs="Arial"/>
          <w:b/>
          <w:bCs/>
          <w:sz w:val="24"/>
          <w:szCs w:val="24"/>
        </w:rPr>
        <w:t>Bibliografía:</w:t>
      </w:r>
      <w:r w:rsidRPr="00B85420">
        <w:rPr>
          <w:rFonts w:ascii="Arial" w:hAnsi="Arial" w:cs="Arial"/>
          <w:b/>
          <w:bCs/>
          <w:sz w:val="24"/>
          <w:szCs w:val="24"/>
          <w:lang w:val="es-ES"/>
        </w:rPr>
        <w:t xml:space="preserve"> Texto básico.</w:t>
      </w:r>
    </w:p>
    <w:p w:rsidR="00B85420" w:rsidRPr="00B85420" w:rsidRDefault="00B85420" w:rsidP="00B85420">
      <w:pPr>
        <w:spacing w:after="0"/>
        <w:rPr>
          <w:rFonts w:ascii="Arial" w:hAnsi="Arial" w:cs="Arial"/>
          <w:b/>
          <w:bCs/>
          <w:sz w:val="24"/>
          <w:szCs w:val="24"/>
          <w:lang w:val="es-ES"/>
        </w:rPr>
      </w:pPr>
      <w:r w:rsidRPr="00B85420">
        <w:rPr>
          <w:rFonts w:ascii="Arial" w:hAnsi="Arial" w:cs="Arial"/>
          <w:b/>
          <w:bCs/>
          <w:sz w:val="24"/>
          <w:szCs w:val="24"/>
          <w:lang w:val="es-ES"/>
        </w:rPr>
        <w:t>Texto básico:</w:t>
      </w:r>
    </w:p>
    <w:p w:rsidR="00B85420" w:rsidRPr="00B85420" w:rsidRDefault="00B85420" w:rsidP="00B85420">
      <w:pPr>
        <w:numPr>
          <w:ilvl w:val="0"/>
          <w:numId w:val="12"/>
        </w:numPr>
        <w:spacing w:after="0"/>
        <w:rPr>
          <w:rFonts w:ascii="Arial" w:hAnsi="Arial" w:cs="Arial"/>
          <w:bCs/>
          <w:sz w:val="24"/>
          <w:szCs w:val="24"/>
          <w:lang w:val="es-ES"/>
        </w:rPr>
      </w:pPr>
      <w:r w:rsidRPr="00B85420">
        <w:rPr>
          <w:rFonts w:ascii="Arial" w:hAnsi="Arial" w:cs="Arial"/>
          <w:bCs/>
          <w:sz w:val="24"/>
          <w:szCs w:val="24"/>
          <w:lang w:val="es-ES"/>
        </w:rPr>
        <w:t>Farmacología en el Proceso de Atención de Enfermería. Colectivo de autores. ECIMED. La Habana, 2009.Colectivo de autores. Temas de farmacología para estudiantes de enfermería.</w:t>
      </w:r>
    </w:p>
    <w:p w:rsidR="00B85420" w:rsidRPr="00B85420" w:rsidRDefault="00B85420" w:rsidP="00B85420">
      <w:pPr>
        <w:spacing w:after="0"/>
        <w:rPr>
          <w:rFonts w:ascii="Arial" w:hAnsi="Arial" w:cs="Arial"/>
          <w:bCs/>
          <w:sz w:val="24"/>
          <w:szCs w:val="24"/>
          <w:lang w:val="es-ES"/>
        </w:rPr>
      </w:pPr>
    </w:p>
    <w:p w:rsidR="00B85420" w:rsidRPr="00B85420" w:rsidRDefault="00B85420" w:rsidP="00B85420">
      <w:pPr>
        <w:numPr>
          <w:ilvl w:val="0"/>
          <w:numId w:val="4"/>
        </w:numPr>
        <w:spacing w:after="0"/>
        <w:rPr>
          <w:rFonts w:ascii="Arial" w:hAnsi="Arial" w:cs="Arial"/>
          <w:bCs/>
          <w:sz w:val="24"/>
          <w:szCs w:val="24"/>
          <w:lang w:val="pt-BR"/>
        </w:rPr>
      </w:pPr>
      <w:r>
        <w:rPr>
          <w:rFonts w:ascii="Arial" w:hAnsi="Arial" w:cs="Arial"/>
          <w:bCs/>
          <w:sz w:val="24"/>
          <w:szCs w:val="24"/>
          <w:lang w:val="pt-BR"/>
        </w:rPr>
        <w:t>Hormonas tireóideas, tratamiento substitutivo com hormonas tireóideas, presentación, vias de administración, efectos indeseables, contraindicaciones. (329-330</w:t>
      </w:r>
      <w:r w:rsidRPr="00B85420">
        <w:rPr>
          <w:rFonts w:ascii="Arial" w:hAnsi="Arial" w:cs="Arial"/>
          <w:bCs/>
          <w:sz w:val="24"/>
          <w:szCs w:val="24"/>
          <w:lang w:val="pt-BR"/>
        </w:rPr>
        <w:t>).</w:t>
      </w:r>
    </w:p>
    <w:p w:rsidR="00C02A1A" w:rsidRPr="00B85420" w:rsidRDefault="00C02A1A" w:rsidP="00B85420">
      <w:pPr>
        <w:spacing w:after="0"/>
        <w:rPr>
          <w:rFonts w:ascii="Arial" w:hAnsi="Arial" w:cs="Arial"/>
          <w:bCs/>
          <w:sz w:val="24"/>
          <w:szCs w:val="24"/>
          <w:lang w:val="pt-BR"/>
        </w:rPr>
      </w:pPr>
    </w:p>
    <w:p w:rsidR="00B85420" w:rsidRPr="00B85420" w:rsidRDefault="00B85420" w:rsidP="00B85420">
      <w:pPr>
        <w:numPr>
          <w:ilvl w:val="0"/>
          <w:numId w:val="4"/>
        </w:numPr>
        <w:spacing w:after="0"/>
        <w:rPr>
          <w:rFonts w:ascii="Arial" w:hAnsi="Arial" w:cs="Arial"/>
          <w:bCs/>
          <w:sz w:val="24"/>
          <w:szCs w:val="24"/>
          <w:lang w:val="pt-BR"/>
        </w:rPr>
      </w:pPr>
      <w:r>
        <w:rPr>
          <w:rFonts w:ascii="Arial" w:hAnsi="Arial" w:cs="Arial"/>
          <w:bCs/>
          <w:sz w:val="24"/>
          <w:szCs w:val="24"/>
          <w:lang w:val="pt-BR"/>
        </w:rPr>
        <w:t xml:space="preserve">Fármacos </w:t>
      </w:r>
      <w:r w:rsidR="00D46268">
        <w:rPr>
          <w:rFonts w:ascii="Arial" w:hAnsi="Arial" w:cs="Arial"/>
          <w:bCs/>
          <w:sz w:val="24"/>
          <w:szCs w:val="24"/>
          <w:lang w:val="pt-BR"/>
        </w:rPr>
        <w:t>antitiroideos (</w:t>
      </w:r>
      <w:r>
        <w:rPr>
          <w:rFonts w:ascii="Arial" w:hAnsi="Arial" w:cs="Arial"/>
          <w:bCs/>
          <w:sz w:val="24"/>
          <w:szCs w:val="24"/>
          <w:lang w:val="pt-BR"/>
        </w:rPr>
        <w:t xml:space="preserve">Pag331) </w:t>
      </w:r>
      <w:r w:rsidRPr="00B85420">
        <w:rPr>
          <w:rFonts w:ascii="Arial" w:hAnsi="Arial" w:cs="Arial"/>
          <w:bCs/>
          <w:sz w:val="24"/>
          <w:szCs w:val="24"/>
          <w:lang w:val="pt-BR"/>
        </w:rPr>
        <w:t xml:space="preserve">Acciones farmacológicas. Aspectos farmacocinéticos relevantes. Reacciones indeseables. Interacciones.  Contraindicaciones de la insulina (Pág. 332-334). </w:t>
      </w:r>
    </w:p>
    <w:p w:rsidR="00B85420" w:rsidRPr="00B85420" w:rsidRDefault="00B85420" w:rsidP="00B85420">
      <w:pPr>
        <w:spacing w:after="0"/>
        <w:rPr>
          <w:rFonts w:ascii="Arial" w:hAnsi="Arial" w:cs="Arial"/>
          <w:bCs/>
          <w:sz w:val="24"/>
          <w:szCs w:val="24"/>
          <w:lang w:val="pt-BR"/>
        </w:rPr>
      </w:pPr>
    </w:p>
    <w:p w:rsidR="00C02A1A" w:rsidRPr="00B85420" w:rsidRDefault="00C02A1A" w:rsidP="00B85420">
      <w:pPr>
        <w:spacing w:after="0"/>
        <w:rPr>
          <w:rFonts w:ascii="Arial" w:hAnsi="Arial" w:cs="Arial"/>
          <w:bCs/>
          <w:sz w:val="24"/>
          <w:szCs w:val="24"/>
          <w:lang w:val="pt-BR"/>
        </w:rPr>
      </w:pPr>
      <w:r w:rsidRPr="00B85420">
        <w:rPr>
          <w:rFonts w:ascii="Arial" w:hAnsi="Arial" w:cs="Arial"/>
          <w:bCs/>
          <w:sz w:val="24"/>
          <w:szCs w:val="24"/>
          <w:lang w:val="pt-BR"/>
        </w:rPr>
        <w:t>.</w:t>
      </w:r>
    </w:p>
    <w:p w:rsidR="00B85420" w:rsidRPr="00B85420" w:rsidRDefault="00B85420" w:rsidP="00B85420">
      <w:pPr>
        <w:spacing w:after="0"/>
        <w:rPr>
          <w:rFonts w:ascii="Arial" w:hAnsi="Arial" w:cs="Arial"/>
          <w:bCs/>
          <w:sz w:val="24"/>
          <w:szCs w:val="24"/>
          <w:lang w:val="pt-BR"/>
        </w:rPr>
      </w:pPr>
    </w:p>
    <w:p w:rsidR="00B85420" w:rsidRPr="00B85420" w:rsidRDefault="00B85420" w:rsidP="00B85420">
      <w:pPr>
        <w:spacing w:after="0"/>
        <w:rPr>
          <w:rFonts w:ascii="Arial" w:hAnsi="Arial" w:cs="Arial"/>
          <w:bCs/>
          <w:sz w:val="24"/>
          <w:szCs w:val="24"/>
          <w:lang w:val="es-ES"/>
        </w:rPr>
      </w:pPr>
      <w:r w:rsidRPr="00B85420">
        <w:rPr>
          <w:rFonts w:ascii="Arial" w:hAnsi="Arial" w:cs="Arial"/>
          <w:bCs/>
          <w:sz w:val="24"/>
          <w:szCs w:val="24"/>
          <w:lang w:val="pt-BR"/>
        </w:rPr>
        <w:t xml:space="preserve">                </w:t>
      </w:r>
    </w:p>
    <w:p w:rsidR="00B85420" w:rsidRPr="00B85420" w:rsidRDefault="00B85420" w:rsidP="00B85420">
      <w:pPr>
        <w:spacing w:after="0"/>
        <w:rPr>
          <w:rFonts w:ascii="Arial" w:hAnsi="Arial" w:cs="Arial"/>
          <w:b/>
          <w:bCs/>
          <w:sz w:val="24"/>
          <w:szCs w:val="24"/>
          <w:lang w:val="es-ES"/>
        </w:rPr>
      </w:pPr>
      <w:r w:rsidRPr="00B85420">
        <w:rPr>
          <w:rFonts w:ascii="Arial" w:hAnsi="Arial" w:cs="Arial"/>
          <w:b/>
          <w:bCs/>
          <w:sz w:val="24"/>
          <w:szCs w:val="24"/>
          <w:lang w:val="es-ES"/>
        </w:rPr>
        <w:t>Texto complementario.</w:t>
      </w:r>
    </w:p>
    <w:p w:rsidR="00B85420" w:rsidRPr="00B85420" w:rsidRDefault="00B85420" w:rsidP="00B85420">
      <w:pPr>
        <w:spacing w:after="0"/>
        <w:rPr>
          <w:rFonts w:ascii="Arial" w:hAnsi="Arial" w:cs="Arial"/>
          <w:b/>
          <w:bCs/>
          <w:sz w:val="24"/>
          <w:szCs w:val="24"/>
          <w:lang w:val="es-ES"/>
        </w:rPr>
      </w:pPr>
    </w:p>
    <w:p w:rsidR="00B85420" w:rsidRPr="00B85420" w:rsidRDefault="00B85420" w:rsidP="00B85420">
      <w:pPr>
        <w:numPr>
          <w:ilvl w:val="0"/>
          <w:numId w:val="12"/>
        </w:numPr>
        <w:spacing w:after="0"/>
        <w:rPr>
          <w:rFonts w:ascii="Arial" w:hAnsi="Arial" w:cs="Arial"/>
          <w:bCs/>
          <w:sz w:val="24"/>
          <w:szCs w:val="24"/>
          <w:lang w:val="es-ES"/>
        </w:rPr>
      </w:pPr>
      <w:r w:rsidRPr="00B85420">
        <w:rPr>
          <w:rFonts w:ascii="Arial" w:hAnsi="Arial" w:cs="Arial"/>
          <w:bCs/>
          <w:sz w:val="24"/>
          <w:szCs w:val="24"/>
          <w:lang w:val="es-ES_tradnl"/>
        </w:rPr>
        <w:t xml:space="preserve">Formulario Nacional de Medicamentos. Centro Para el Desarrollo de la </w:t>
      </w:r>
      <w:proofErr w:type="spellStart"/>
      <w:r w:rsidRPr="00B85420">
        <w:rPr>
          <w:rFonts w:ascii="Arial" w:hAnsi="Arial" w:cs="Arial"/>
          <w:bCs/>
          <w:sz w:val="24"/>
          <w:szCs w:val="24"/>
          <w:lang w:val="es-ES_tradnl"/>
        </w:rPr>
        <w:t>Farmacoepidemiología</w:t>
      </w:r>
      <w:proofErr w:type="spellEnd"/>
      <w:r w:rsidRPr="00B85420">
        <w:rPr>
          <w:rFonts w:ascii="Arial" w:hAnsi="Arial" w:cs="Arial"/>
          <w:bCs/>
          <w:sz w:val="24"/>
          <w:szCs w:val="24"/>
          <w:lang w:val="es-ES_tradnl"/>
        </w:rPr>
        <w:t>/MINSAP. Editorial de Ciencias Médicas. 2014.</w:t>
      </w:r>
    </w:p>
    <w:p w:rsidR="00B85420" w:rsidRPr="00B85420" w:rsidRDefault="00B85420" w:rsidP="00B85420">
      <w:pPr>
        <w:spacing w:after="0"/>
        <w:rPr>
          <w:rFonts w:ascii="Arial" w:hAnsi="Arial" w:cs="Arial"/>
          <w:bCs/>
          <w:sz w:val="24"/>
          <w:szCs w:val="24"/>
          <w:lang w:val="es-ES"/>
        </w:rPr>
      </w:pPr>
    </w:p>
    <w:p w:rsidR="00B85420" w:rsidRDefault="00B85420" w:rsidP="00B85420">
      <w:pPr>
        <w:spacing w:after="0"/>
        <w:rPr>
          <w:rFonts w:ascii="Arial" w:hAnsi="Arial" w:cs="Arial"/>
          <w:b/>
          <w:sz w:val="24"/>
          <w:szCs w:val="24"/>
        </w:rPr>
      </w:pPr>
      <w:r w:rsidRPr="00B85420">
        <w:rPr>
          <w:rFonts w:ascii="Arial" w:hAnsi="Arial" w:cs="Arial"/>
          <w:b/>
          <w:sz w:val="24"/>
          <w:szCs w:val="24"/>
        </w:rPr>
        <w:t xml:space="preserve">Tareas de trabajo independiente. </w:t>
      </w:r>
    </w:p>
    <w:p w:rsidR="00505BE2" w:rsidRPr="00B85420" w:rsidRDefault="00505BE2" w:rsidP="00B85420">
      <w:pPr>
        <w:spacing w:after="0"/>
        <w:rPr>
          <w:rFonts w:ascii="Arial" w:hAnsi="Arial" w:cs="Arial"/>
          <w:b/>
          <w:sz w:val="24"/>
          <w:szCs w:val="24"/>
        </w:rPr>
      </w:pPr>
    </w:p>
    <w:p w:rsidR="00B85420" w:rsidRPr="00B85420" w:rsidRDefault="00505BE2" w:rsidP="00B85420">
      <w:pPr>
        <w:spacing w:after="0"/>
        <w:rPr>
          <w:rFonts w:ascii="Arial" w:hAnsi="Arial" w:cs="Arial"/>
          <w:sz w:val="24"/>
          <w:szCs w:val="24"/>
          <w:lang w:val="es-ES_tradnl"/>
        </w:rPr>
      </w:pPr>
      <w:r>
        <w:rPr>
          <w:rFonts w:ascii="Arial" w:hAnsi="Arial" w:cs="Arial"/>
          <w:sz w:val="24"/>
          <w:szCs w:val="24"/>
          <w:lang w:val="es-ES_tradnl"/>
        </w:rPr>
        <w:t>1</w:t>
      </w:r>
      <w:r w:rsidR="00B85420" w:rsidRPr="00B85420">
        <w:rPr>
          <w:rFonts w:ascii="Arial" w:hAnsi="Arial" w:cs="Arial"/>
          <w:sz w:val="24"/>
          <w:szCs w:val="24"/>
          <w:lang w:val="es-ES_tradnl"/>
        </w:rPr>
        <w:t xml:space="preserve">.-Mencione </w:t>
      </w:r>
      <w:r>
        <w:rPr>
          <w:rFonts w:ascii="Arial" w:hAnsi="Arial" w:cs="Arial"/>
          <w:sz w:val="24"/>
          <w:szCs w:val="24"/>
          <w:lang w:val="es-ES_tradnl"/>
        </w:rPr>
        <w:t>dos (2) fármacos antitiroideos</w:t>
      </w:r>
      <w:r w:rsidR="00B85420" w:rsidRPr="00B85420">
        <w:rPr>
          <w:rFonts w:ascii="Arial" w:hAnsi="Arial" w:cs="Arial"/>
          <w:sz w:val="24"/>
          <w:szCs w:val="24"/>
          <w:lang w:val="es-ES_tradnl"/>
        </w:rPr>
        <w:t>.</w:t>
      </w:r>
    </w:p>
    <w:p w:rsidR="00B85420" w:rsidRPr="00B85420" w:rsidRDefault="00505BE2" w:rsidP="00B85420">
      <w:pPr>
        <w:spacing w:after="0"/>
        <w:rPr>
          <w:rFonts w:ascii="Arial" w:hAnsi="Arial" w:cs="Arial"/>
          <w:sz w:val="24"/>
          <w:szCs w:val="24"/>
          <w:lang w:val="es-ES_tradnl"/>
        </w:rPr>
      </w:pPr>
      <w:r>
        <w:rPr>
          <w:rFonts w:ascii="Arial" w:hAnsi="Arial" w:cs="Arial"/>
          <w:sz w:val="24"/>
          <w:szCs w:val="24"/>
          <w:lang w:val="es-ES_tradnl"/>
        </w:rPr>
        <w:t>3.-Enuncie dos (2</w:t>
      </w:r>
      <w:r w:rsidR="00B85420" w:rsidRPr="00B85420">
        <w:rPr>
          <w:rFonts w:ascii="Arial" w:hAnsi="Arial" w:cs="Arial"/>
          <w:sz w:val="24"/>
          <w:szCs w:val="24"/>
          <w:lang w:val="es-ES_tradnl"/>
        </w:rPr>
        <w:t xml:space="preserve">) precauciones que usted como enfermero debe tener en cuenta en la administración </w:t>
      </w:r>
      <w:r>
        <w:rPr>
          <w:rFonts w:ascii="Arial" w:hAnsi="Arial" w:cs="Arial"/>
          <w:sz w:val="24"/>
          <w:szCs w:val="24"/>
          <w:lang w:val="es-ES_tradnl"/>
        </w:rPr>
        <w:t xml:space="preserve"> de la Levotiroxina sódica</w:t>
      </w:r>
      <w:r w:rsidR="00B85420" w:rsidRPr="00B85420">
        <w:rPr>
          <w:rFonts w:ascii="Arial" w:hAnsi="Arial" w:cs="Arial"/>
          <w:sz w:val="24"/>
          <w:szCs w:val="24"/>
          <w:lang w:val="es-ES_tradnl"/>
        </w:rPr>
        <w:t>.</w:t>
      </w:r>
    </w:p>
    <w:p w:rsidR="00505BE2" w:rsidRDefault="00B85420" w:rsidP="00B85420">
      <w:pPr>
        <w:spacing w:after="0"/>
        <w:rPr>
          <w:rFonts w:ascii="Arial" w:hAnsi="Arial" w:cs="Arial"/>
          <w:sz w:val="24"/>
          <w:szCs w:val="24"/>
          <w:lang w:val="es-ES_tradnl"/>
        </w:rPr>
      </w:pPr>
      <w:r w:rsidRPr="00B85420">
        <w:rPr>
          <w:rFonts w:ascii="Arial" w:hAnsi="Arial" w:cs="Arial"/>
          <w:sz w:val="24"/>
          <w:szCs w:val="24"/>
          <w:lang w:val="es-ES_tradnl"/>
        </w:rPr>
        <w:t xml:space="preserve">4.- </w:t>
      </w:r>
      <w:r w:rsidR="00505BE2">
        <w:rPr>
          <w:rFonts w:ascii="Arial" w:hAnsi="Arial" w:cs="Arial"/>
          <w:sz w:val="24"/>
          <w:szCs w:val="24"/>
          <w:lang w:val="es-ES_tradnl"/>
        </w:rPr>
        <w:t xml:space="preserve">Mencione dos (2) fármaco útil en el Hipotiroidismo y uno (2) hipertiroidismo </w:t>
      </w:r>
    </w:p>
    <w:p w:rsidR="00B85420" w:rsidRPr="00B85420" w:rsidRDefault="00B85420" w:rsidP="00B85420">
      <w:pPr>
        <w:spacing w:after="0"/>
        <w:rPr>
          <w:rFonts w:ascii="Arial" w:hAnsi="Arial" w:cs="Arial"/>
          <w:sz w:val="24"/>
          <w:szCs w:val="24"/>
          <w:lang w:val="es-ES_tradnl"/>
        </w:rPr>
      </w:pPr>
      <w:r w:rsidRPr="00B85420">
        <w:rPr>
          <w:rFonts w:ascii="Arial" w:hAnsi="Arial" w:cs="Arial"/>
          <w:sz w:val="24"/>
          <w:szCs w:val="24"/>
          <w:lang w:val="es-ES_tradnl"/>
        </w:rPr>
        <w:t xml:space="preserve">                                                  </w:t>
      </w:r>
    </w:p>
    <w:p w:rsidR="00B85420" w:rsidRPr="00B85420" w:rsidRDefault="00B85420" w:rsidP="00B85420">
      <w:pPr>
        <w:spacing w:after="0"/>
        <w:rPr>
          <w:rFonts w:ascii="Arial" w:hAnsi="Arial" w:cs="Arial"/>
          <w:b/>
          <w:sz w:val="24"/>
          <w:szCs w:val="24"/>
        </w:rPr>
      </w:pPr>
      <w:r w:rsidRPr="00B85420">
        <w:rPr>
          <w:rFonts w:ascii="Arial" w:hAnsi="Arial" w:cs="Arial"/>
          <w:b/>
          <w:sz w:val="24"/>
          <w:szCs w:val="24"/>
        </w:rPr>
        <w:t xml:space="preserve">Para entregar por escrito o en formato individual: </w:t>
      </w:r>
    </w:p>
    <w:p w:rsidR="00B85420" w:rsidRPr="00B85420" w:rsidRDefault="00B85420" w:rsidP="00B85420">
      <w:pPr>
        <w:spacing w:after="0"/>
        <w:rPr>
          <w:rFonts w:ascii="Arial" w:hAnsi="Arial" w:cs="Arial"/>
          <w:sz w:val="24"/>
          <w:szCs w:val="24"/>
        </w:rPr>
      </w:pPr>
    </w:p>
    <w:p w:rsidR="00505BE2" w:rsidRDefault="00505BE2" w:rsidP="00605D38">
      <w:pPr>
        <w:spacing w:after="0"/>
        <w:rPr>
          <w:rFonts w:ascii="Arial" w:hAnsi="Arial" w:cs="Arial"/>
          <w:sz w:val="24"/>
          <w:szCs w:val="24"/>
          <w:lang w:val="es-ES_tradnl"/>
        </w:rPr>
      </w:pPr>
      <w:r>
        <w:rPr>
          <w:rFonts w:ascii="Arial" w:hAnsi="Arial" w:cs="Arial"/>
          <w:sz w:val="24"/>
          <w:szCs w:val="24"/>
          <w:lang w:val="es-ES_tradnl"/>
        </w:rPr>
        <w:t xml:space="preserve">Complete el siguiente cuadro </w:t>
      </w:r>
    </w:p>
    <w:tbl>
      <w:tblPr>
        <w:tblStyle w:val="Tablaconcuadrcula"/>
        <w:tblW w:w="0" w:type="auto"/>
        <w:tblLook w:val="04A0" w:firstRow="1" w:lastRow="0" w:firstColumn="1" w:lastColumn="0" w:noHBand="0" w:noVBand="1"/>
      </w:tblPr>
      <w:tblGrid>
        <w:gridCol w:w="2254"/>
        <w:gridCol w:w="1477"/>
        <w:gridCol w:w="1310"/>
        <w:gridCol w:w="1436"/>
        <w:gridCol w:w="1692"/>
        <w:gridCol w:w="1403"/>
      </w:tblGrid>
      <w:tr w:rsidR="00D46268" w:rsidTr="00D46268">
        <w:trPr>
          <w:trHeight w:val="70"/>
        </w:trPr>
        <w:tc>
          <w:tcPr>
            <w:tcW w:w="2254"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Levotiroxina Sódica</w:t>
            </w:r>
          </w:p>
        </w:tc>
        <w:tc>
          <w:tcPr>
            <w:tcW w:w="1477"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Para llenar ↓</w:t>
            </w:r>
          </w:p>
        </w:tc>
        <w:tc>
          <w:tcPr>
            <w:tcW w:w="1310"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Metimazol</w:t>
            </w:r>
          </w:p>
        </w:tc>
        <w:tc>
          <w:tcPr>
            <w:tcW w:w="1436" w:type="dxa"/>
          </w:tcPr>
          <w:p w:rsidR="00D46268" w:rsidRDefault="00D46268" w:rsidP="00605D38">
            <w:pPr>
              <w:rPr>
                <w:rFonts w:ascii="Arial" w:hAnsi="Arial" w:cs="Arial"/>
                <w:sz w:val="24"/>
                <w:szCs w:val="24"/>
                <w:lang w:val="es-ES_tradnl"/>
              </w:rPr>
            </w:pPr>
            <w:r w:rsidRPr="00D46268">
              <w:rPr>
                <w:rFonts w:ascii="Arial" w:hAnsi="Arial" w:cs="Arial"/>
                <w:sz w:val="24"/>
                <w:szCs w:val="24"/>
                <w:lang w:val="es-ES_tradnl"/>
              </w:rPr>
              <w:t>Para llenar ↓</w:t>
            </w:r>
          </w:p>
        </w:tc>
        <w:tc>
          <w:tcPr>
            <w:tcW w:w="1692"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 xml:space="preserve">Propiltiuracilo </w:t>
            </w:r>
          </w:p>
        </w:tc>
        <w:tc>
          <w:tcPr>
            <w:tcW w:w="1403" w:type="dxa"/>
          </w:tcPr>
          <w:p w:rsidR="00D46268" w:rsidRDefault="00D46268" w:rsidP="00605D38">
            <w:pPr>
              <w:rPr>
                <w:rFonts w:ascii="Arial" w:hAnsi="Arial" w:cs="Arial"/>
                <w:sz w:val="24"/>
                <w:szCs w:val="24"/>
                <w:lang w:val="es-ES_tradnl"/>
              </w:rPr>
            </w:pPr>
            <w:r w:rsidRPr="00D46268">
              <w:rPr>
                <w:rFonts w:ascii="Arial" w:hAnsi="Arial" w:cs="Arial"/>
                <w:sz w:val="24"/>
                <w:szCs w:val="24"/>
                <w:lang w:val="es-ES_tradnl"/>
              </w:rPr>
              <w:t>Para llenar ↓</w:t>
            </w:r>
          </w:p>
        </w:tc>
      </w:tr>
      <w:tr w:rsidR="00D46268" w:rsidTr="00D46268">
        <w:tc>
          <w:tcPr>
            <w:tcW w:w="2254"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Reacciones adversas</w:t>
            </w:r>
          </w:p>
        </w:tc>
        <w:tc>
          <w:tcPr>
            <w:tcW w:w="1477" w:type="dxa"/>
          </w:tcPr>
          <w:p w:rsidR="00D46268" w:rsidRDefault="00D46268" w:rsidP="00605D38">
            <w:pPr>
              <w:rPr>
                <w:rFonts w:ascii="Arial" w:hAnsi="Arial" w:cs="Arial"/>
                <w:sz w:val="24"/>
                <w:szCs w:val="24"/>
                <w:lang w:val="es-ES_tradnl"/>
              </w:rPr>
            </w:pPr>
          </w:p>
        </w:tc>
        <w:tc>
          <w:tcPr>
            <w:tcW w:w="1310" w:type="dxa"/>
          </w:tcPr>
          <w:p w:rsidR="00D46268" w:rsidRDefault="00D46268" w:rsidP="00605D38">
            <w:pPr>
              <w:rPr>
                <w:rFonts w:ascii="Arial" w:hAnsi="Arial" w:cs="Arial"/>
                <w:sz w:val="24"/>
                <w:szCs w:val="24"/>
                <w:lang w:val="es-ES_tradnl"/>
              </w:rPr>
            </w:pPr>
          </w:p>
        </w:tc>
        <w:tc>
          <w:tcPr>
            <w:tcW w:w="1436" w:type="dxa"/>
          </w:tcPr>
          <w:p w:rsidR="00D46268" w:rsidRDefault="00D46268" w:rsidP="00605D38">
            <w:pPr>
              <w:rPr>
                <w:rFonts w:ascii="Arial" w:hAnsi="Arial" w:cs="Arial"/>
                <w:sz w:val="24"/>
                <w:szCs w:val="24"/>
                <w:lang w:val="es-ES_tradnl"/>
              </w:rPr>
            </w:pPr>
          </w:p>
        </w:tc>
        <w:tc>
          <w:tcPr>
            <w:tcW w:w="1692" w:type="dxa"/>
          </w:tcPr>
          <w:p w:rsidR="00D46268" w:rsidRDefault="00D46268" w:rsidP="00605D38">
            <w:pPr>
              <w:rPr>
                <w:rFonts w:ascii="Arial" w:hAnsi="Arial" w:cs="Arial"/>
                <w:sz w:val="24"/>
                <w:szCs w:val="24"/>
                <w:lang w:val="es-ES_tradnl"/>
              </w:rPr>
            </w:pPr>
          </w:p>
        </w:tc>
        <w:tc>
          <w:tcPr>
            <w:tcW w:w="1403" w:type="dxa"/>
          </w:tcPr>
          <w:p w:rsidR="00D46268" w:rsidRDefault="00D46268" w:rsidP="00605D38">
            <w:pPr>
              <w:rPr>
                <w:rFonts w:ascii="Arial" w:hAnsi="Arial" w:cs="Arial"/>
                <w:sz w:val="24"/>
                <w:szCs w:val="24"/>
                <w:lang w:val="es-ES_tradnl"/>
              </w:rPr>
            </w:pPr>
          </w:p>
        </w:tc>
      </w:tr>
      <w:tr w:rsidR="00D46268" w:rsidTr="00D46268">
        <w:tc>
          <w:tcPr>
            <w:tcW w:w="2254"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Interacciones</w:t>
            </w:r>
          </w:p>
        </w:tc>
        <w:tc>
          <w:tcPr>
            <w:tcW w:w="1477" w:type="dxa"/>
          </w:tcPr>
          <w:p w:rsidR="00D46268" w:rsidRDefault="00D46268" w:rsidP="00605D38">
            <w:pPr>
              <w:rPr>
                <w:rFonts w:ascii="Arial" w:hAnsi="Arial" w:cs="Arial"/>
                <w:sz w:val="24"/>
                <w:szCs w:val="24"/>
                <w:lang w:val="es-ES_tradnl"/>
              </w:rPr>
            </w:pPr>
          </w:p>
        </w:tc>
        <w:tc>
          <w:tcPr>
            <w:tcW w:w="1310" w:type="dxa"/>
          </w:tcPr>
          <w:p w:rsidR="00D46268" w:rsidRDefault="00D46268" w:rsidP="00605D38">
            <w:pPr>
              <w:rPr>
                <w:rFonts w:ascii="Arial" w:hAnsi="Arial" w:cs="Arial"/>
                <w:sz w:val="24"/>
                <w:szCs w:val="24"/>
                <w:lang w:val="es-ES_tradnl"/>
              </w:rPr>
            </w:pPr>
          </w:p>
        </w:tc>
        <w:tc>
          <w:tcPr>
            <w:tcW w:w="1436" w:type="dxa"/>
          </w:tcPr>
          <w:p w:rsidR="00D46268" w:rsidRDefault="00D46268" w:rsidP="00605D38">
            <w:pPr>
              <w:rPr>
                <w:rFonts w:ascii="Arial" w:hAnsi="Arial" w:cs="Arial"/>
                <w:sz w:val="24"/>
                <w:szCs w:val="24"/>
                <w:lang w:val="es-ES_tradnl"/>
              </w:rPr>
            </w:pPr>
          </w:p>
        </w:tc>
        <w:tc>
          <w:tcPr>
            <w:tcW w:w="1692" w:type="dxa"/>
          </w:tcPr>
          <w:p w:rsidR="00D46268" w:rsidRDefault="00D46268" w:rsidP="00605D38">
            <w:pPr>
              <w:rPr>
                <w:rFonts w:ascii="Arial" w:hAnsi="Arial" w:cs="Arial"/>
                <w:sz w:val="24"/>
                <w:szCs w:val="24"/>
                <w:lang w:val="es-ES_tradnl"/>
              </w:rPr>
            </w:pPr>
          </w:p>
        </w:tc>
        <w:tc>
          <w:tcPr>
            <w:tcW w:w="1403" w:type="dxa"/>
          </w:tcPr>
          <w:p w:rsidR="00D46268" w:rsidRDefault="00D46268" w:rsidP="00605D38">
            <w:pPr>
              <w:rPr>
                <w:rFonts w:ascii="Arial" w:hAnsi="Arial" w:cs="Arial"/>
                <w:sz w:val="24"/>
                <w:szCs w:val="24"/>
                <w:lang w:val="es-ES_tradnl"/>
              </w:rPr>
            </w:pPr>
          </w:p>
        </w:tc>
      </w:tr>
      <w:tr w:rsidR="00D46268" w:rsidTr="00D46268">
        <w:tc>
          <w:tcPr>
            <w:tcW w:w="2254"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Presentación</w:t>
            </w:r>
          </w:p>
        </w:tc>
        <w:tc>
          <w:tcPr>
            <w:tcW w:w="1477" w:type="dxa"/>
          </w:tcPr>
          <w:p w:rsidR="00D46268" w:rsidRDefault="00D46268" w:rsidP="00605D38">
            <w:pPr>
              <w:rPr>
                <w:rFonts w:ascii="Arial" w:hAnsi="Arial" w:cs="Arial"/>
                <w:sz w:val="24"/>
                <w:szCs w:val="24"/>
                <w:lang w:val="es-ES_tradnl"/>
              </w:rPr>
            </w:pPr>
          </w:p>
        </w:tc>
        <w:tc>
          <w:tcPr>
            <w:tcW w:w="1310" w:type="dxa"/>
          </w:tcPr>
          <w:p w:rsidR="00D46268" w:rsidRDefault="00D46268" w:rsidP="00605D38">
            <w:pPr>
              <w:rPr>
                <w:rFonts w:ascii="Arial" w:hAnsi="Arial" w:cs="Arial"/>
                <w:sz w:val="24"/>
                <w:szCs w:val="24"/>
                <w:lang w:val="es-ES_tradnl"/>
              </w:rPr>
            </w:pPr>
          </w:p>
        </w:tc>
        <w:tc>
          <w:tcPr>
            <w:tcW w:w="1436" w:type="dxa"/>
          </w:tcPr>
          <w:p w:rsidR="00D46268" w:rsidRDefault="00D46268" w:rsidP="00605D38">
            <w:pPr>
              <w:rPr>
                <w:rFonts w:ascii="Arial" w:hAnsi="Arial" w:cs="Arial"/>
                <w:sz w:val="24"/>
                <w:szCs w:val="24"/>
                <w:lang w:val="es-ES_tradnl"/>
              </w:rPr>
            </w:pPr>
          </w:p>
        </w:tc>
        <w:tc>
          <w:tcPr>
            <w:tcW w:w="1692" w:type="dxa"/>
          </w:tcPr>
          <w:p w:rsidR="00D46268" w:rsidRDefault="00D46268" w:rsidP="00605D38">
            <w:pPr>
              <w:rPr>
                <w:rFonts w:ascii="Arial" w:hAnsi="Arial" w:cs="Arial"/>
                <w:sz w:val="24"/>
                <w:szCs w:val="24"/>
                <w:lang w:val="es-ES_tradnl"/>
              </w:rPr>
            </w:pPr>
          </w:p>
        </w:tc>
        <w:tc>
          <w:tcPr>
            <w:tcW w:w="1403" w:type="dxa"/>
          </w:tcPr>
          <w:p w:rsidR="00D46268" w:rsidRDefault="00D46268" w:rsidP="00605D38">
            <w:pPr>
              <w:rPr>
                <w:rFonts w:ascii="Arial" w:hAnsi="Arial" w:cs="Arial"/>
                <w:sz w:val="24"/>
                <w:szCs w:val="24"/>
                <w:lang w:val="es-ES_tradnl"/>
              </w:rPr>
            </w:pPr>
          </w:p>
        </w:tc>
      </w:tr>
      <w:tr w:rsidR="00D46268" w:rsidTr="00D46268">
        <w:tc>
          <w:tcPr>
            <w:tcW w:w="2254"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Vías de administración</w:t>
            </w:r>
          </w:p>
        </w:tc>
        <w:tc>
          <w:tcPr>
            <w:tcW w:w="1477" w:type="dxa"/>
          </w:tcPr>
          <w:p w:rsidR="00D46268" w:rsidRDefault="00D46268" w:rsidP="00605D38">
            <w:pPr>
              <w:rPr>
                <w:rFonts w:ascii="Arial" w:hAnsi="Arial" w:cs="Arial"/>
                <w:sz w:val="24"/>
                <w:szCs w:val="24"/>
                <w:lang w:val="es-ES_tradnl"/>
              </w:rPr>
            </w:pPr>
          </w:p>
        </w:tc>
        <w:tc>
          <w:tcPr>
            <w:tcW w:w="1310" w:type="dxa"/>
          </w:tcPr>
          <w:p w:rsidR="00D46268" w:rsidRDefault="00D46268" w:rsidP="00605D38">
            <w:pPr>
              <w:rPr>
                <w:rFonts w:ascii="Arial" w:hAnsi="Arial" w:cs="Arial"/>
                <w:sz w:val="24"/>
                <w:szCs w:val="24"/>
                <w:lang w:val="es-ES_tradnl"/>
              </w:rPr>
            </w:pPr>
          </w:p>
        </w:tc>
        <w:tc>
          <w:tcPr>
            <w:tcW w:w="1436" w:type="dxa"/>
          </w:tcPr>
          <w:p w:rsidR="00D46268" w:rsidRDefault="00D46268" w:rsidP="00605D38">
            <w:pPr>
              <w:rPr>
                <w:rFonts w:ascii="Arial" w:hAnsi="Arial" w:cs="Arial"/>
                <w:sz w:val="24"/>
                <w:szCs w:val="24"/>
                <w:lang w:val="es-ES_tradnl"/>
              </w:rPr>
            </w:pPr>
          </w:p>
        </w:tc>
        <w:tc>
          <w:tcPr>
            <w:tcW w:w="1692" w:type="dxa"/>
          </w:tcPr>
          <w:p w:rsidR="00D46268" w:rsidRDefault="00D46268" w:rsidP="00605D38">
            <w:pPr>
              <w:rPr>
                <w:rFonts w:ascii="Arial" w:hAnsi="Arial" w:cs="Arial"/>
                <w:sz w:val="24"/>
                <w:szCs w:val="24"/>
                <w:lang w:val="es-ES_tradnl"/>
              </w:rPr>
            </w:pPr>
          </w:p>
        </w:tc>
        <w:tc>
          <w:tcPr>
            <w:tcW w:w="1403" w:type="dxa"/>
          </w:tcPr>
          <w:p w:rsidR="00D46268" w:rsidRDefault="00D46268" w:rsidP="00605D38">
            <w:pPr>
              <w:rPr>
                <w:rFonts w:ascii="Arial" w:hAnsi="Arial" w:cs="Arial"/>
                <w:sz w:val="24"/>
                <w:szCs w:val="24"/>
                <w:lang w:val="es-ES_tradnl"/>
              </w:rPr>
            </w:pPr>
          </w:p>
        </w:tc>
      </w:tr>
      <w:tr w:rsidR="00D46268" w:rsidTr="00D46268">
        <w:tc>
          <w:tcPr>
            <w:tcW w:w="2254" w:type="dxa"/>
          </w:tcPr>
          <w:p w:rsidR="00D46268" w:rsidRDefault="00D46268" w:rsidP="00605D38">
            <w:pPr>
              <w:rPr>
                <w:rFonts w:ascii="Arial" w:hAnsi="Arial" w:cs="Arial"/>
                <w:sz w:val="24"/>
                <w:szCs w:val="24"/>
                <w:lang w:val="es-ES_tradnl"/>
              </w:rPr>
            </w:pPr>
            <w:r>
              <w:rPr>
                <w:rFonts w:ascii="Arial" w:hAnsi="Arial" w:cs="Arial"/>
                <w:sz w:val="24"/>
                <w:szCs w:val="24"/>
                <w:lang w:val="es-ES_tradnl"/>
              </w:rPr>
              <w:t xml:space="preserve">Acciones farmacológicas </w:t>
            </w:r>
          </w:p>
        </w:tc>
        <w:tc>
          <w:tcPr>
            <w:tcW w:w="1477" w:type="dxa"/>
          </w:tcPr>
          <w:p w:rsidR="00D46268" w:rsidRDefault="00D46268" w:rsidP="00605D38">
            <w:pPr>
              <w:rPr>
                <w:rFonts w:ascii="Arial" w:hAnsi="Arial" w:cs="Arial"/>
                <w:sz w:val="24"/>
                <w:szCs w:val="24"/>
                <w:lang w:val="es-ES_tradnl"/>
              </w:rPr>
            </w:pPr>
          </w:p>
        </w:tc>
        <w:tc>
          <w:tcPr>
            <w:tcW w:w="1310" w:type="dxa"/>
          </w:tcPr>
          <w:p w:rsidR="00D46268" w:rsidRDefault="00D46268" w:rsidP="00605D38">
            <w:pPr>
              <w:rPr>
                <w:rFonts w:ascii="Arial" w:hAnsi="Arial" w:cs="Arial"/>
                <w:sz w:val="24"/>
                <w:szCs w:val="24"/>
                <w:lang w:val="es-ES_tradnl"/>
              </w:rPr>
            </w:pPr>
          </w:p>
        </w:tc>
        <w:tc>
          <w:tcPr>
            <w:tcW w:w="1436" w:type="dxa"/>
          </w:tcPr>
          <w:p w:rsidR="00D46268" w:rsidRDefault="00D46268" w:rsidP="00605D38">
            <w:pPr>
              <w:rPr>
                <w:rFonts w:ascii="Arial" w:hAnsi="Arial" w:cs="Arial"/>
                <w:sz w:val="24"/>
                <w:szCs w:val="24"/>
                <w:lang w:val="es-ES_tradnl"/>
              </w:rPr>
            </w:pPr>
          </w:p>
        </w:tc>
        <w:tc>
          <w:tcPr>
            <w:tcW w:w="1692" w:type="dxa"/>
          </w:tcPr>
          <w:p w:rsidR="00D46268" w:rsidRDefault="00D46268" w:rsidP="00605D38">
            <w:pPr>
              <w:rPr>
                <w:rFonts w:ascii="Arial" w:hAnsi="Arial" w:cs="Arial"/>
                <w:sz w:val="24"/>
                <w:szCs w:val="24"/>
                <w:lang w:val="es-ES_tradnl"/>
              </w:rPr>
            </w:pPr>
          </w:p>
        </w:tc>
        <w:tc>
          <w:tcPr>
            <w:tcW w:w="1403" w:type="dxa"/>
          </w:tcPr>
          <w:p w:rsidR="00D46268" w:rsidRDefault="00D46268" w:rsidP="00605D38">
            <w:pPr>
              <w:rPr>
                <w:rFonts w:ascii="Arial" w:hAnsi="Arial" w:cs="Arial"/>
                <w:sz w:val="24"/>
                <w:szCs w:val="24"/>
                <w:lang w:val="es-ES_tradnl"/>
              </w:rPr>
            </w:pPr>
          </w:p>
        </w:tc>
      </w:tr>
    </w:tbl>
    <w:p w:rsidR="00B85420" w:rsidRDefault="00D46268" w:rsidP="00605D38">
      <w:pPr>
        <w:spacing w:after="0"/>
        <w:rPr>
          <w:rFonts w:ascii="Arial" w:hAnsi="Arial" w:cs="Arial"/>
          <w:sz w:val="24"/>
          <w:szCs w:val="24"/>
          <w:lang w:val="es-ES_tradnl"/>
        </w:rPr>
      </w:pPr>
      <w:r>
        <w:rPr>
          <w:rFonts w:ascii="Arial" w:hAnsi="Arial" w:cs="Arial"/>
          <w:sz w:val="24"/>
          <w:szCs w:val="24"/>
          <w:lang w:val="es-ES_tradnl"/>
        </w:rPr>
        <w:t xml:space="preserve"> </w:t>
      </w:r>
    </w:p>
    <w:sectPr w:rsidR="00B85420"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BE5"/>
    <w:multiLevelType w:val="hybridMultilevel"/>
    <w:tmpl w:val="10DC0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694E09"/>
    <w:multiLevelType w:val="hybridMultilevel"/>
    <w:tmpl w:val="08AE658E"/>
    <w:lvl w:ilvl="0" w:tplc="0C0A0001">
      <w:start w:val="1"/>
      <w:numFmt w:val="bullet"/>
      <w:lvlText w:val=""/>
      <w:lvlJc w:val="left"/>
      <w:pPr>
        <w:ind w:left="1860" w:hanging="360"/>
      </w:pPr>
      <w:rPr>
        <w:rFonts w:ascii="Symbol" w:hAnsi="Symbol"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2">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DB101E"/>
    <w:multiLevelType w:val="hybridMultilevel"/>
    <w:tmpl w:val="EBC8F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3EB4EBD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3E725E0B"/>
    <w:multiLevelType w:val="hybridMultilevel"/>
    <w:tmpl w:val="0B9A4E64"/>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7">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44221C3C"/>
    <w:multiLevelType w:val="hybridMultilevel"/>
    <w:tmpl w:val="DBDAF104"/>
    <w:lvl w:ilvl="0" w:tplc="E4C059FA">
      <w:start w:val="1"/>
      <w:numFmt w:val="bullet"/>
      <w:lvlText w:val=""/>
      <w:lvlJc w:val="left"/>
      <w:pPr>
        <w:tabs>
          <w:tab w:val="num" w:pos="720"/>
        </w:tabs>
        <w:ind w:left="720" w:hanging="360"/>
      </w:pPr>
      <w:rPr>
        <w:rFonts w:ascii="Wingdings" w:hAnsi="Wingdings" w:hint="default"/>
      </w:rPr>
    </w:lvl>
    <w:lvl w:ilvl="1" w:tplc="26B69232" w:tentative="1">
      <w:start w:val="1"/>
      <w:numFmt w:val="bullet"/>
      <w:lvlText w:val=""/>
      <w:lvlJc w:val="left"/>
      <w:pPr>
        <w:tabs>
          <w:tab w:val="num" w:pos="1440"/>
        </w:tabs>
        <w:ind w:left="1440" w:hanging="360"/>
      </w:pPr>
      <w:rPr>
        <w:rFonts w:ascii="Wingdings" w:hAnsi="Wingdings" w:hint="default"/>
      </w:rPr>
    </w:lvl>
    <w:lvl w:ilvl="2" w:tplc="33C67C2E" w:tentative="1">
      <w:start w:val="1"/>
      <w:numFmt w:val="bullet"/>
      <w:lvlText w:val=""/>
      <w:lvlJc w:val="left"/>
      <w:pPr>
        <w:tabs>
          <w:tab w:val="num" w:pos="2160"/>
        </w:tabs>
        <w:ind w:left="2160" w:hanging="360"/>
      </w:pPr>
      <w:rPr>
        <w:rFonts w:ascii="Wingdings" w:hAnsi="Wingdings" w:hint="default"/>
      </w:rPr>
    </w:lvl>
    <w:lvl w:ilvl="3" w:tplc="4C2235EC" w:tentative="1">
      <w:start w:val="1"/>
      <w:numFmt w:val="bullet"/>
      <w:lvlText w:val=""/>
      <w:lvlJc w:val="left"/>
      <w:pPr>
        <w:tabs>
          <w:tab w:val="num" w:pos="2880"/>
        </w:tabs>
        <w:ind w:left="2880" w:hanging="360"/>
      </w:pPr>
      <w:rPr>
        <w:rFonts w:ascii="Wingdings" w:hAnsi="Wingdings" w:hint="default"/>
      </w:rPr>
    </w:lvl>
    <w:lvl w:ilvl="4" w:tplc="01C09B08" w:tentative="1">
      <w:start w:val="1"/>
      <w:numFmt w:val="bullet"/>
      <w:lvlText w:val=""/>
      <w:lvlJc w:val="left"/>
      <w:pPr>
        <w:tabs>
          <w:tab w:val="num" w:pos="3600"/>
        </w:tabs>
        <w:ind w:left="3600" w:hanging="360"/>
      </w:pPr>
      <w:rPr>
        <w:rFonts w:ascii="Wingdings" w:hAnsi="Wingdings" w:hint="default"/>
      </w:rPr>
    </w:lvl>
    <w:lvl w:ilvl="5" w:tplc="FB489460" w:tentative="1">
      <w:start w:val="1"/>
      <w:numFmt w:val="bullet"/>
      <w:lvlText w:val=""/>
      <w:lvlJc w:val="left"/>
      <w:pPr>
        <w:tabs>
          <w:tab w:val="num" w:pos="4320"/>
        </w:tabs>
        <w:ind w:left="4320" w:hanging="360"/>
      </w:pPr>
      <w:rPr>
        <w:rFonts w:ascii="Wingdings" w:hAnsi="Wingdings" w:hint="default"/>
      </w:rPr>
    </w:lvl>
    <w:lvl w:ilvl="6" w:tplc="B0621D02" w:tentative="1">
      <w:start w:val="1"/>
      <w:numFmt w:val="bullet"/>
      <w:lvlText w:val=""/>
      <w:lvlJc w:val="left"/>
      <w:pPr>
        <w:tabs>
          <w:tab w:val="num" w:pos="5040"/>
        </w:tabs>
        <w:ind w:left="5040" w:hanging="360"/>
      </w:pPr>
      <w:rPr>
        <w:rFonts w:ascii="Wingdings" w:hAnsi="Wingdings" w:hint="default"/>
      </w:rPr>
    </w:lvl>
    <w:lvl w:ilvl="7" w:tplc="34B432E0" w:tentative="1">
      <w:start w:val="1"/>
      <w:numFmt w:val="bullet"/>
      <w:lvlText w:val=""/>
      <w:lvlJc w:val="left"/>
      <w:pPr>
        <w:tabs>
          <w:tab w:val="num" w:pos="5760"/>
        </w:tabs>
        <w:ind w:left="5760" w:hanging="360"/>
      </w:pPr>
      <w:rPr>
        <w:rFonts w:ascii="Wingdings" w:hAnsi="Wingdings" w:hint="default"/>
      </w:rPr>
    </w:lvl>
    <w:lvl w:ilvl="8" w:tplc="17C8DA88"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3">
    <w:nsid w:val="64526577"/>
    <w:multiLevelType w:val="hybridMultilevel"/>
    <w:tmpl w:val="98D22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5802BB5"/>
    <w:multiLevelType w:val="hybridMultilevel"/>
    <w:tmpl w:val="7A0A4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nsid w:val="72AB5BF1"/>
    <w:multiLevelType w:val="hybridMultilevel"/>
    <w:tmpl w:val="55AE5EC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nsid w:val="781631CD"/>
    <w:multiLevelType w:val="hybridMultilevel"/>
    <w:tmpl w:val="D840A3A6"/>
    <w:lvl w:ilvl="0" w:tplc="0C0A0001">
      <w:start w:val="1"/>
      <w:numFmt w:val="bullet"/>
      <w:lvlText w:val=""/>
      <w:lvlJc w:val="left"/>
      <w:pPr>
        <w:tabs>
          <w:tab w:val="num" w:pos="540"/>
        </w:tabs>
        <w:ind w:left="54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19">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5"/>
  </w:num>
  <w:num w:numId="4">
    <w:abstractNumId w:val="9"/>
  </w:num>
  <w:num w:numId="5">
    <w:abstractNumId w:val="10"/>
  </w:num>
  <w:num w:numId="6">
    <w:abstractNumId w:val="7"/>
  </w:num>
  <w:num w:numId="7">
    <w:abstractNumId w:val="12"/>
  </w:num>
  <w:num w:numId="8">
    <w:abstractNumId w:val="2"/>
  </w:num>
  <w:num w:numId="9">
    <w:abstractNumId w:val="17"/>
  </w:num>
  <w:num w:numId="10">
    <w:abstractNumId w:val="3"/>
  </w:num>
  <w:num w:numId="11">
    <w:abstractNumId w:val="4"/>
  </w:num>
  <w:num w:numId="12">
    <w:abstractNumId w:val="11"/>
  </w:num>
  <w:num w:numId="13">
    <w:abstractNumId w:val="18"/>
  </w:num>
  <w:num w:numId="14">
    <w:abstractNumId w:val="8"/>
  </w:num>
  <w:num w:numId="15">
    <w:abstractNumId w:val="19"/>
  </w:num>
  <w:num w:numId="16">
    <w:abstractNumId w:val="1"/>
  </w:num>
  <w:num w:numId="17">
    <w:abstractNumId w:val="0"/>
  </w:num>
  <w:num w:numId="18">
    <w:abstractNumId w:val="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2"/>
  </w:compat>
  <w:rsids>
    <w:rsidRoot w:val="00154F34"/>
    <w:rsid w:val="000561DE"/>
    <w:rsid w:val="0008422A"/>
    <w:rsid w:val="000D500D"/>
    <w:rsid w:val="00137867"/>
    <w:rsid w:val="00154F34"/>
    <w:rsid w:val="001906CB"/>
    <w:rsid w:val="001E3AF7"/>
    <w:rsid w:val="0021116F"/>
    <w:rsid w:val="00212048"/>
    <w:rsid w:val="002D1324"/>
    <w:rsid w:val="00362CE9"/>
    <w:rsid w:val="003D33C0"/>
    <w:rsid w:val="003F22B7"/>
    <w:rsid w:val="004704CB"/>
    <w:rsid w:val="00471E1C"/>
    <w:rsid w:val="004A58FD"/>
    <w:rsid w:val="00505BE2"/>
    <w:rsid w:val="005A2F10"/>
    <w:rsid w:val="00605D38"/>
    <w:rsid w:val="00612CED"/>
    <w:rsid w:val="00687297"/>
    <w:rsid w:val="006A2BAD"/>
    <w:rsid w:val="006E3992"/>
    <w:rsid w:val="006E3DBE"/>
    <w:rsid w:val="007C5F94"/>
    <w:rsid w:val="00844676"/>
    <w:rsid w:val="009163AA"/>
    <w:rsid w:val="009B2BB5"/>
    <w:rsid w:val="009E7F2C"/>
    <w:rsid w:val="00A7777D"/>
    <w:rsid w:val="00B26990"/>
    <w:rsid w:val="00B32E9F"/>
    <w:rsid w:val="00B85420"/>
    <w:rsid w:val="00BA180B"/>
    <w:rsid w:val="00BA185C"/>
    <w:rsid w:val="00BE5208"/>
    <w:rsid w:val="00BF634A"/>
    <w:rsid w:val="00C02A1A"/>
    <w:rsid w:val="00C8264B"/>
    <w:rsid w:val="00C937C8"/>
    <w:rsid w:val="00CB639A"/>
    <w:rsid w:val="00CD4394"/>
    <w:rsid w:val="00D46268"/>
    <w:rsid w:val="00D844E9"/>
    <w:rsid w:val="00DD2BC3"/>
    <w:rsid w:val="00E1089F"/>
    <w:rsid w:val="00E457D1"/>
    <w:rsid w:val="00E71835"/>
    <w:rsid w:val="00EE0F8D"/>
    <w:rsid w:val="00F725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7D1"/>
  </w:style>
  <w:style w:type="paragraph" w:styleId="Ttulo1">
    <w:name w:val="heading 1"/>
    <w:basedOn w:val="Normal"/>
    <w:next w:val="Normal"/>
    <w:link w:val="Ttulo1Car"/>
    <w:uiPriority w:val="9"/>
    <w:qFormat/>
    <w:rsid w:val="00B269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B2699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561DE"/>
    <w:rPr>
      <w:rFonts w:ascii="Times New Roman" w:hAnsi="Times New Roman" w:cs="Times New Roman"/>
      <w:sz w:val="24"/>
      <w:szCs w:val="24"/>
    </w:rPr>
  </w:style>
  <w:style w:type="table" w:styleId="Tablaconcuadrcula">
    <w:name w:val="Table Grid"/>
    <w:basedOn w:val="Tablanormal"/>
    <w:uiPriority w:val="59"/>
    <w:rsid w:val="001E3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A58FD"/>
    <w:rPr>
      <w:sz w:val="16"/>
      <w:szCs w:val="16"/>
    </w:rPr>
  </w:style>
  <w:style w:type="paragraph" w:styleId="Textocomentario">
    <w:name w:val="annotation text"/>
    <w:basedOn w:val="Normal"/>
    <w:link w:val="TextocomentarioCar"/>
    <w:uiPriority w:val="99"/>
    <w:semiHidden/>
    <w:unhideWhenUsed/>
    <w:rsid w:val="004A58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58FD"/>
    <w:rPr>
      <w:sz w:val="20"/>
      <w:szCs w:val="20"/>
    </w:rPr>
  </w:style>
  <w:style w:type="paragraph" w:styleId="Asuntodelcomentario">
    <w:name w:val="annotation subject"/>
    <w:basedOn w:val="Textocomentario"/>
    <w:next w:val="Textocomentario"/>
    <w:link w:val="AsuntodelcomentarioCar"/>
    <w:uiPriority w:val="99"/>
    <w:semiHidden/>
    <w:unhideWhenUsed/>
    <w:rsid w:val="004A58FD"/>
    <w:rPr>
      <w:b/>
      <w:bCs/>
    </w:rPr>
  </w:style>
  <w:style w:type="character" w:customStyle="1" w:styleId="AsuntodelcomentarioCar">
    <w:name w:val="Asunto del comentario Car"/>
    <w:basedOn w:val="TextocomentarioCar"/>
    <w:link w:val="Asuntodelcomentario"/>
    <w:uiPriority w:val="99"/>
    <w:semiHidden/>
    <w:rsid w:val="004A58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4204">
      <w:bodyDiv w:val="1"/>
      <w:marLeft w:val="0"/>
      <w:marRight w:val="0"/>
      <w:marTop w:val="0"/>
      <w:marBottom w:val="0"/>
      <w:divBdr>
        <w:top w:val="none" w:sz="0" w:space="0" w:color="auto"/>
        <w:left w:val="none" w:sz="0" w:space="0" w:color="auto"/>
        <w:bottom w:val="none" w:sz="0" w:space="0" w:color="auto"/>
        <w:right w:val="none" w:sz="0" w:space="0" w:color="auto"/>
      </w:divBdr>
    </w:div>
    <w:div w:id="833450566">
      <w:bodyDiv w:val="1"/>
      <w:marLeft w:val="0"/>
      <w:marRight w:val="0"/>
      <w:marTop w:val="0"/>
      <w:marBottom w:val="0"/>
      <w:divBdr>
        <w:top w:val="none" w:sz="0" w:space="0" w:color="auto"/>
        <w:left w:val="none" w:sz="0" w:space="0" w:color="auto"/>
        <w:bottom w:val="none" w:sz="0" w:space="0" w:color="auto"/>
        <w:right w:val="none" w:sz="0" w:space="0" w:color="auto"/>
      </w:divBdr>
    </w:div>
    <w:div w:id="13099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F302-841B-46BD-AB1A-62FA289F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16</cp:revision>
  <dcterms:created xsi:type="dcterms:W3CDTF">2020-03-27T10:46:00Z</dcterms:created>
  <dcterms:modified xsi:type="dcterms:W3CDTF">2020-03-30T15:38:00Z</dcterms:modified>
</cp:coreProperties>
</file>