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26" w:rsidRPr="008E0D26" w:rsidRDefault="008E0D26" w:rsidP="008E0D26">
      <w:pPr>
        <w:autoSpaceDE w:val="0"/>
        <w:autoSpaceDN w:val="0"/>
        <w:spacing w:before="120" w:after="120" w:line="360" w:lineRule="auto"/>
        <w:jc w:val="both"/>
        <w:rPr>
          <w:rFonts w:ascii="Arial" w:eastAsia="Times New Roman" w:hAnsi="Arial" w:cs="Arial"/>
          <w:sz w:val="24"/>
          <w:szCs w:val="24"/>
          <w:lang w:val="es-ES_tradnl" w:eastAsia="es-ES"/>
        </w:rPr>
      </w:pPr>
      <w:r w:rsidRPr="008E0D26">
        <w:rPr>
          <w:rFonts w:ascii="Arial" w:eastAsia="Times New Roman" w:hAnsi="Arial" w:cs="Arial"/>
          <w:b/>
          <w:sz w:val="24"/>
          <w:szCs w:val="24"/>
          <w:lang w:val="es-ES_tradnl" w:eastAsia="es-ES"/>
        </w:rPr>
        <w:t>Unidad 4:</w:t>
      </w:r>
      <w:r w:rsidRPr="008E0D26">
        <w:rPr>
          <w:rFonts w:ascii="Arial" w:eastAsia="Times New Roman" w:hAnsi="Arial" w:cs="Arial"/>
          <w:sz w:val="24"/>
          <w:szCs w:val="24"/>
          <w:lang w:val="es-ES_tradnl" w:eastAsia="es-ES"/>
        </w:rPr>
        <w:t xml:space="preserve"> Transfusión en situaciones especiales. </w:t>
      </w:r>
    </w:p>
    <w:p w:rsidR="008E0D26" w:rsidRPr="008E0D26" w:rsidRDefault="008E0D26" w:rsidP="008E0D26">
      <w:pPr>
        <w:autoSpaceDE w:val="0"/>
        <w:autoSpaceDN w:val="0"/>
        <w:spacing w:before="120" w:after="120" w:line="360" w:lineRule="auto"/>
        <w:jc w:val="both"/>
        <w:rPr>
          <w:rFonts w:ascii="Arial" w:eastAsia="Times New Roman" w:hAnsi="Arial" w:cs="Arial"/>
          <w:b/>
          <w:sz w:val="24"/>
          <w:szCs w:val="24"/>
          <w:lang w:val="es-ES_tradnl" w:eastAsia="es-ES"/>
        </w:rPr>
      </w:pPr>
      <w:r w:rsidRPr="008E0D26">
        <w:rPr>
          <w:rFonts w:ascii="Arial" w:eastAsia="Times New Roman" w:hAnsi="Arial" w:cs="Arial"/>
          <w:b/>
          <w:sz w:val="24"/>
          <w:szCs w:val="24"/>
          <w:lang w:val="es-ES_tradnl" w:eastAsia="es-ES"/>
        </w:rPr>
        <w:t>Objetivo:</w:t>
      </w:r>
    </w:p>
    <w:p w:rsidR="008E0D26" w:rsidRPr="008E0D26" w:rsidRDefault="008E0D26" w:rsidP="008E0D26">
      <w:pPr>
        <w:numPr>
          <w:ilvl w:val="0"/>
          <w:numId w:val="1"/>
        </w:numPr>
        <w:tabs>
          <w:tab w:val="clear" w:pos="360"/>
          <w:tab w:val="num" w:pos="284"/>
        </w:tabs>
        <w:autoSpaceDE w:val="0"/>
        <w:autoSpaceDN w:val="0"/>
        <w:spacing w:before="120" w:after="120" w:line="360" w:lineRule="auto"/>
        <w:ind w:left="851" w:hanging="851"/>
        <w:jc w:val="both"/>
        <w:rPr>
          <w:rFonts w:ascii="Arial" w:eastAsia="Times New Roman" w:hAnsi="Arial" w:cs="Arial"/>
          <w:sz w:val="24"/>
          <w:szCs w:val="24"/>
          <w:lang w:val="es-ES" w:eastAsia="es-ES"/>
        </w:rPr>
      </w:pPr>
      <w:r w:rsidRPr="008E0D26">
        <w:rPr>
          <w:rFonts w:ascii="Arial" w:eastAsia="Times New Roman" w:hAnsi="Arial" w:cs="Arial"/>
          <w:sz w:val="24"/>
          <w:szCs w:val="24"/>
          <w:lang w:val="es-ES_tradnl" w:eastAsia="es-ES"/>
        </w:rPr>
        <w:t xml:space="preserve">Valorar el </w:t>
      </w:r>
      <w:r w:rsidRPr="008E0D26">
        <w:rPr>
          <w:rFonts w:ascii="Arial" w:eastAsia="Times New Roman" w:hAnsi="Arial" w:cs="Arial"/>
          <w:sz w:val="24"/>
          <w:szCs w:val="24"/>
          <w:lang w:val="es-ES" w:eastAsia="es-ES"/>
        </w:rPr>
        <w:t>empleo de la transfusión de sangre y componentes en situaciones especiales.</w:t>
      </w:r>
    </w:p>
    <w:p w:rsidR="008E0D26" w:rsidRPr="008E0D26" w:rsidRDefault="008E0D26" w:rsidP="008E0D26">
      <w:pPr>
        <w:spacing w:after="0" w:line="360" w:lineRule="auto"/>
        <w:jc w:val="both"/>
        <w:rPr>
          <w:rFonts w:ascii="Arial" w:eastAsia="Times New Roman" w:hAnsi="Arial" w:cs="Arial"/>
          <w:sz w:val="24"/>
          <w:szCs w:val="24"/>
          <w:lang w:val="es-ES" w:eastAsia="es-ES"/>
        </w:rPr>
      </w:pPr>
    </w:p>
    <w:p w:rsidR="008E0D26" w:rsidRPr="008E0D26" w:rsidRDefault="008E0D26" w:rsidP="008E0D26">
      <w:pPr>
        <w:autoSpaceDE w:val="0"/>
        <w:autoSpaceDN w:val="0"/>
        <w:spacing w:before="120" w:after="120" w:line="360" w:lineRule="auto"/>
        <w:jc w:val="both"/>
        <w:rPr>
          <w:rFonts w:ascii="Arial" w:eastAsia="Times New Roman" w:hAnsi="Arial" w:cs="Arial"/>
          <w:b/>
          <w:sz w:val="24"/>
          <w:szCs w:val="24"/>
          <w:lang w:val="es-ES_tradnl" w:eastAsia="es-ES"/>
        </w:rPr>
      </w:pPr>
      <w:r w:rsidRPr="008E0D26">
        <w:rPr>
          <w:rFonts w:ascii="Arial" w:eastAsia="Times New Roman" w:hAnsi="Arial" w:cs="Arial"/>
          <w:b/>
          <w:sz w:val="24"/>
          <w:szCs w:val="24"/>
          <w:lang w:val="es-ES_tradnl" w:eastAsia="es-ES"/>
        </w:rPr>
        <w:t>Orientaciones:</w:t>
      </w:r>
    </w:p>
    <w:p w:rsidR="008E0D26" w:rsidRPr="008E0D26" w:rsidRDefault="008E0D26" w:rsidP="008E0D26">
      <w:pPr>
        <w:pStyle w:val="Prrafodelista"/>
        <w:numPr>
          <w:ilvl w:val="0"/>
          <w:numId w:val="2"/>
        </w:numPr>
        <w:autoSpaceDE w:val="0"/>
        <w:autoSpaceDN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 xml:space="preserve">Retomar de la asignatura de Hematología el concepto de Drepanocitosis y explicar las causas </w:t>
      </w:r>
    </w:p>
    <w:p w:rsidR="008E0D26" w:rsidRPr="008E0D26" w:rsidRDefault="008E0D26" w:rsidP="008E0D26">
      <w:pPr>
        <w:autoSpaceDE w:val="0"/>
        <w:autoSpaceDN w:val="0"/>
        <w:spacing w:after="0" w:line="360" w:lineRule="auto"/>
        <w:jc w:val="both"/>
        <w:rPr>
          <w:rFonts w:ascii="Arial" w:eastAsia="Times New Roman" w:hAnsi="Arial" w:cs="Arial"/>
          <w:sz w:val="24"/>
          <w:szCs w:val="24"/>
          <w:lang w:val="es-ES" w:eastAsia="es-ES"/>
        </w:rPr>
      </w:pPr>
      <w:proofErr w:type="gramStart"/>
      <w:r w:rsidRPr="008E0D26">
        <w:rPr>
          <w:rFonts w:ascii="Arial" w:eastAsia="Times New Roman" w:hAnsi="Arial" w:cs="Arial"/>
          <w:sz w:val="24"/>
          <w:szCs w:val="24"/>
          <w:lang w:val="es-ES" w:eastAsia="es-ES"/>
        </w:rPr>
        <w:t>fisiopatológicas</w:t>
      </w:r>
      <w:proofErr w:type="gramEnd"/>
      <w:r w:rsidRPr="008E0D26">
        <w:rPr>
          <w:rFonts w:ascii="Arial" w:eastAsia="Times New Roman" w:hAnsi="Arial" w:cs="Arial"/>
          <w:sz w:val="24"/>
          <w:szCs w:val="24"/>
          <w:lang w:val="es-ES" w:eastAsia="es-ES"/>
        </w:rPr>
        <w:t xml:space="preserve"> que determinan la aparición de la anemia en el paciente </w:t>
      </w:r>
      <w:proofErr w:type="spellStart"/>
      <w:r w:rsidRPr="008E0D26">
        <w:rPr>
          <w:rFonts w:ascii="Arial" w:eastAsia="Times New Roman" w:hAnsi="Arial" w:cs="Arial"/>
          <w:sz w:val="24"/>
          <w:szCs w:val="24"/>
          <w:lang w:val="es-ES" w:eastAsia="es-ES"/>
        </w:rPr>
        <w:t>siclémico</w:t>
      </w:r>
      <w:proofErr w:type="spellEnd"/>
      <w:r w:rsidRPr="008E0D26">
        <w:rPr>
          <w:rFonts w:ascii="Arial" w:eastAsia="Times New Roman" w:hAnsi="Arial" w:cs="Arial"/>
          <w:sz w:val="24"/>
          <w:szCs w:val="24"/>
          <w:lang w:val="es-ES" w:eastAsia="es-ES"/>
        </w:rPr>
        <w:t xml:space="preserve">, así como, las diferentes crisis que se manifiestan en esta patología profundizando en la utilidad de la terapia transfusional y destacar el papel de la prueba de solubilidad en la selección de los glóbulos rojos a transfundir. Se describirán los tres métodos de terapia transfusional que se emplean: Transfusión simple, </w:t>
      </w:r>
      <w:proofErr w:type="spellStart"/>
      <w:r w:rsidRPr="008E0D26">
        <w:rPr>
          <w:rFonts w:ascii="Arial" w:eastAsia="Times New Roman" w:hAnsi="Arial" w:cs="Arial"/>
          <w:sz w:val="24"/>
          <w:szCs w:val="24"/>
          <w:lang w:val="es-ES" w:eastAsia="es-ES"/>
        </w:rPr>
        <w:t>exanguinotransfusión</w:t>
      </w:r>
      <w:proofErr w:type="spellEnd"/>
      <w:r w:rsidRPr="008E0D26">
        <w:rPr>
          <w:rFonts w:ascii="Arial" w:eastAsia="Times New Roman" w:hAnsi="Arial" w:cs="Arial"/>
          <w:sz w:val="24"/>
          <w:szCs w:val="24"/>
          <w:lang w:val="es-ES" w:eastAsia="es-ES"/>
        </w:rPr>
        <w:t xml:space="preserve"> y régimen de transfusión crónica. Así como las indicaciones de cada uno y los efectos positivos de la transfusión en las complicaciones de la enfermedad.</w:t>
      </w:r>
    </w:p>
    <w:p w:rsidR="008E0D26" w:rsidRPr="008E0D26" w:rsidRDefault="008E0D26" w:rsidP="008E0D26">
      <w:pPr>
        <w:pStyle w:val="Prrafodelista"/>
        <w:numPr>
          <w:ilvl w:val="0"/>
          <w:numId w:val="2"/>
        </w:numPr>
        <w:autoSpaceDE w:val="0"/>
        <w:autoSpaceDN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 xml:space="preserve">Enunciar el concepto de Talasemia y su clasificación, haciendo énfasis en la ß Talasemia mayor debido </w:t>
      </w:r>
    </w:p>
    <w:p w:rsidR="008E0D26" w:rsidRPr="008E0D26" w:rsidRDefault="008E0D26" w:rsidP="008E0D26">
      <w:pPr>
        <w:autoSpaceDE w:val="0"/>
        <w:autoSpaceDN w:val="0"/>
        <w:spacing w:after="0" w:line="360" w:lineRule="auto"/>
        <w:jc w:val="both"/>
        <w:rPr>
          <w:rFonts w:ascii="Arial" w:eastAsia="Times New Roman" w:hAnsi="Arial" w:cs="Arial"/>
          <w:sz w:val="24"/>
          <w:szCs w:val="24"/>
          <w:lang w:val="es-ES" w:eastAsia="es-ES"/>
        </w:rPr>
      </w:pPr>
      <w:proofErr w:type="gramStart"/>
      <w:r w:rsidRPr="008E0D26">
        <w:rPr>
          <w:rFonts w:ascii="Arial" w:eastAsia="Times New Roman" w:hAnsi="Arial" w:cs="Arial"/>
          <w:sz w:val="24"/>
          <w:szCs w:val="24"/>
          <w:lang w:val="es-ES" w:eastAsia="es-ES"/>
        </w:rPr>
        <w:t>a</w:t>
      </w:r>
      <w:proofErr w:type="gramEnd"/>
      <w:r w:rsidRPr="008E0D26">
        <w:rPr>
          <w:rFonts w:ascii="Arial" w:eastAsia="Times New Roman" w:hAnsi="Arial" w:cs="Arial"/>
          <w:sz w:val="24"/>
          <w:szCs w:val="24"/>
          <w:lang w:val="es-ES" w:eastAsia="es-ES"/>
        </w:rPr>
        <w:t xml:space="preserve"> la importancia de la terapia transfusional en la vida de estos pacientes. Describir como se ejecuta el régimen de </w:t>
      </w:r>
      <w:proofErr w:type="spellStart"/>
      <w:r w:rsidRPr="008E0D26">
        <w:rPr>
          <w:rFonts w:ascii="Arial" w:eastAsia="Times New Roman" w:hAnsi="Arial" w:cs="Arial"/>
          <w:sz w:val="24"/>
          <w:szCs w:val="24"/>
          <w:lang w:val="es-ES" w:eastAsia="es-ES"/>
        </w:rPr>
        <w:t>hipertransfusión</w:t>
      </w:r>
      <w:proofErr w:type="spellEnd"/>
      <w:r w:rsidRPr="008E0D26">
        <w:rPr>
          <w:rFonts w:ascii="Arial" w:eastAsia="Times New Roman" w:hAnsi="Arial" w:cs="Arial"/>
          <w:sz w:val="24"/>
          <w:szCs w:val="24"/>
          <w:lang w:val="es-ES" w:eastAsia="es-ES"/>
        </w:rPr>
        <w:t xml:space="preserve"> y su utilidad para disminuir los efectos de la enfermedad. Profundizar en la incidencia de los efectos adversos de este tratamiento particularizando en la </w:t>
      </w:r>
      <w:proofErr w:type="spellStart"/>
      <w:r w:rsidRPr="008E0D26">
        <w:rPr>
          <w:rFonts w:ascii="Arial" w:eastAsia="Times New Roman" w:hAnsi="Arial" w:cs="Arial"/>
          <w:sz w:val="24"/>
          <w:szCs w:val="24"/>
          <w:lang w:val="es-ES" w:eastAsia="es-ES"/>
        </w:rPr>
        <w:t>hemosiderosis</w:t>
      </w:r>
      <w:proofErr w:type="spellEnd"/>
      <w:r w:rsidRPr="008E0D26">
        <w:rPr>
          <w:rFonts w:ascii="Arial" w:eastAsia="Times New Roman" w:hAnsi="Arial" w:cs="Arial"/>
          <w:sz w:val="24"/>
          <w:szCs w:val="24"/>
          <w:lang w:val="es-ES" w:eastAsia="es-ES"/>
        </w:rPr>
        <w:t>.</w:t>
      </w:r>
    </w:p>
    <w:p w:rsidR="008E0D26" w:rsidRPr="008E0D26" w:rsidRDefault="008E0D26" w:rsidP="008E0D26">
      <w:pPr>
        <w:pStyle w:val="Prrafodelista"/>
        <w:numPr>
          <w:ilvl w:val="0"/>
          <w:numId w:val="2"/>
        </w:numPr>
        <w:autoSpaceDE w:val="0"/>
        <w:autoSpaceDN w:val="0"/>
        <w:spacing w:after="0" w:line="360" w:lineRule="auto"/>
        <w:jc w:val="both"/>
        <w:rPr>
          <w:rFonts w:ascii="Arial" w:eastAsia="Times New Roman" w:hAnsi="Arial" w:cs="Arial"/>
          <w:sz w:val="24"/>
          <w:szCs w:val="24"/>
          <w:lang w:val="es-ES_tradnl" w:eastAsia="es-ES"/>
        </w:rPr>
      </w:pPr>
      <w:r w:rsidRPr="008E0D26">
        <w:rPr>
          <w:rFonts w:ascii="Arial" w:eastAsia="Times New Roman" w:hAnsi="Arial" w:cs="Arial"/>
          <w:sz w:val="24"/>
          <w:szCs w:val="24"/>
          <w:lang w:val="es-ES" w:eastAsia="es-ES"/>
        </w:rPr>
        <w:t xml:space="preserve">Al tratar la </w:t>
      </w:r>
      <w:r w:rsidRPr="008E0D26">
        <w:rPr>
          <w:rFonts w:ascii="Arial" w:eastAsia="Times New Roman" w:hAnsi="Arial" w:cs="Arial"/>
          <w:sz w:val="24"/>
          <w:szCs w:val="24"/>
          <w:lang w:val="es-ES_tradnl" w:eastAsia="es-ES"/>
        </w:rPr>
        <w:t xml:space="preserve">clasificación, fisiopatología y tratamiento de las anemias hemolíticas autoinmunes (AHAI), </w:t>
      </w:r>
    </w:p>
    <w:p w:rsidR="008E0D26" w:rsidRPr="008E0D26" w:rsidRDefault="008E0D26" w:rsidP="008E0D26">
      <w:pPr>
        <w:autoSpaceDE w:val="0"/>
        <w:autoSpaceDN w:val="0"/>
        <w:spacing w:after="0" w:line="360" w:lineRule="auto"/>
        <w:jc w:val="both"/>
        <w:rPr>
          <w:rFonts w:ascii="Arial" w:eastAsia="Times New Roman" w:hAnsi="Arial" w:cs="Arial"/>
          <w:sz w:val="24"/>
          <w:szCs w:val="24"/>
          <w:lang w:val="es-ES_tradnl" w:eastAsia="es-ES"/>
        </w:rPr>
      </w:pPr>
      <w:proofErr w:type="gramStart"/>
      <w:r w:rsidRPr="008E0D26">
        <w:rPr>
          <w:rFonts w:ascii="Arial" w:eastAsia="Times New Roman" w:hAnsi="Arial" w:cs="Arial"/>
          <w:sz w:val="24"/>
          <w:szCs w:val="24"/>
          <w:lang w:val="es-ES_tradnl" w:eastAsia="es-ES"/>
        </w:rPr>
        <w:t>explicar</w:t>
      </w:r>
      <w:proofErr w:type="gramEnd"/>
      <w:r w:rsidRPr="008E0D26">
        <w:rPr>
          <w:rFonts w:ascii="Arial" w:eastAsia="Times New Roman" w:hAnsi="Arial" w:cs="Arial"/>
          <w:sz w:val="24"/>
          <w:szCs w:val="24"/>
          <w:lang w:val="es-ES_tradnl" w:eastAsia="es-ES"/>
        </w:rPr>
        <w:t xml:space="preserve"> cómo se procede en caso de necesidad de transfundir: destacando la importancia de la adecuada selección del concentrado de glóbulos rojos. Señalar que en esta entidad las pruebas cruzadas pueden ser resultar positivas por lo que se debe determinar la presencia de </w:t>
      </w:r>
      <w:proofErr w:type="spellStart"/>
      <w:r w:rsidRPr="008E0D26">
        <w:rPr>
          <w:rFonts w:ascii="Arial" w:eastAsia="Times New Roman" w:hAnsi="Arial" w:cs="Arial"/>
          <w:sz w:val="24"/>
          <w:szCs w:val="24"/>
          <w:lang w:val="es-ES_tradnl" w:eastAsia="es-ES"/>
        </w:rPr>
        <w:t>aloanticuerpos</w:t>
      </w:r>
      <w:proofErr w:type="spellEnd"/>
      <w:r w:rsidRPr="008E0D26">
        <w:rPr>
          <w:rFonts w:ascii="Arial" w:eastAsia="Times New Roman" w:hAnsi="Arial" w:cs="Arial"/>
          <w:sz w:val="24"/>
          <w:szCs w:val="24"/>
          <w:lang w:val="es-ES_tradnl" w:eastAsia="es-ES"/>
        </w:rPr>
        <w:t xml:space="preserve">; explicar que una vez descartada la presencia de estos elementos es posible transfundir aún con las pruebas cruzadas positivas utilizando las que menor patrón de aglutinación posea en la prueba de Coombs cruzada. Ante la necesidad de efectuar el acto </w:t>
      </w:r>
      <w:r w:rsidRPr="008E0D26">
        <w:rPr>
          <w:rFonts w:ascii="Arial" w:eastAsia="Times New Roman" w:hAnsi="Arial" w:cs="Arial"/>
          <w:sz w:val="24"/>
          <w:szCs w:val="24"/>
          <w:lang w:val="es-ES_tradnl" w:eastAsia="es-ES"/>
        </w:rPr>
        <w:lastRenderedPageBreak/>
        <w:t>transfusional se recomienda tener en cuenta las particularidades para no agravar el cuadro hemolítico.</w:t>
      </w:r>
    </w:p>
    <w:p w:rsidR="008E0D26" w:rsidRPr="008E0D26" w:rsidRDefault="008E0D26" w:rsidP="008E0D26">
      <w:pPr>
        <w:spacing w:after="0" w:line="360" w:lineRule="auto"/>
        <w:jc w:val="both"/>
        <w:rPr>
          <w:rFonts w:eastAsia="Times New Roman" w:cs="Arial"/>
          <w:sz w:val="24"/>
          <w:szCs w:val="24"/>
          <w:lang w:val="es-ES" w:eastAsia="es-ES"/>
        </w:rPr>
      </w:pPr>
    </w:p>
    <w:p w:rsidR="008E0D26" w:rsidRPr="008E0D26" w:rsidRDefault="008E0D26" w:rsidP="008E0D26">
      <w:pPr>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eastAsia="es-ES"/>
        </w:rPr>
        <w:t xml:space="preserve">La transfusión de eritrocitos en la </w:t>
      </w:r>
      <w:r w:rsidRPr="008E0D26">
        <w:rPr>
          <w:rFonts w:ascii="Arial" w:eastAsia="Times New Roman" w:hAnsi="Arial" w:cs="Arial"/>
          <w:b/>
          <w:sz w:val="24"/>
          <w:szCs w:val="24"/>
          <w:lang w:eastAsia="es-ES"/>
        </w:rPr>
        <w:t xml:space="preserve">Anemia </w:t>
      </w:r>
      <w:proofErr w:type="spellStart"/>
      <w:r w:rsidRPr="008E0D26">
        <w:rPr>
          <w:rFonts w:ascii="Arial" w:eastAsia="Times New Roman" w:hAnsi="Arial" w:cs="Arial"/>
          <w:b/>
          <w:sz w:val="24"/>
          <w:szCs w:val="24"/>
          <w:lang w:eastAsia="es-ES"/>
        </w:rPr>
        <w:t>Drepanocítica</w:t>
      </w:r>
      <w:proofErr w:type="spellEnd"/>
      <w:r w:rsidRPr="008E0D26">
        <w:rPr>
          <w:rFonts w:ascii="Arial" w:eastAsia="Times New Roman" w:hAnsi="Arial" w:cs="Arial"/>
          <w:sz w:val="24"/>
          <w:szCs w:val="24"/>
          <w:lang w:eastAsia="es-ES"/>
        </w:rPr>
        <w:t xml:space="preserve"> puede emplearse para reponer el volumen sanguíneo y/o mantener la capacidad transportadora de oxígeno a los tejidos,</w:t>
      </w:r>
    </w:p>
    <w:p w:rsidR="008E0D26" w:rsidRPr="008E0D26" w:rsidRDefault="008E0D26" w:rsidP="008E0D26">
      <w:pPr>
        <w:autoSpaceDE w:val="0"/>
        <w:autoSpaceDN w:val="0"/>
        <w:adjustRightInd w:val="0"/>
        <w:spacing w:after="120" w:line="360" w:lineRule="auto"/>
        <w:jc w:val="both"/>
        <w:rPr>
          <w:rFonts w:ascii="Arial" w:eastAsia="Times New Roman" w:hAnsi="Arial" w:cs="Arial"/>
          <w:sz w:val="24"/>
          <w:szCs w:val="24"/>
          <w:lang w:eastAsia="es-ES"/>
        </w:rPr>
      </w:pPr>
      <w:r w:rsidRPr="008E0D26">
        <w:rPr>
          <w:rFonts w:ascii="Arial" w:eastAsia="Times New Roman" w:hAnsi="Arial" w:cs="Arial"/>
          <w:sz w:val="24"/>
          <w:szCs w:val="24"/>
          <w:lang w:eastAsia="es-ES"/>
        </w:rPr>
        <w:t xml:space="preserve">Los métodos de terapia transfusional empleados son: </w:t>
      </w:r>
    </w:p>
    <w:p w:rsidR="008E0D26" w:rsidRPr="008E0D26" w:rsidRDefault="008E0D26" w:rsidP="008E0D26">
      <w:pPr>
        <w:numPr>
          <w:ilvl w:val="0"/>
          <w:numId w:val="3"/>
        </w:numPr>
        <w:autoSpaceDE w:val="0"/>
        <w:autoSpaceDN w:val="0"/>
        <w:adjustRightInd w:val="0"/>
        <w:spacing w:after="0" w:line="360" w:lineRule="auto"/>
        <w:jc w:val="both"/>
        <w:rPr>
          <w:rFonts w:ascii="Arial" w:eastAsia="Times New Roman" w:hAnsi="Arial" w:cs="Arial"/>
          <w:sz w:val="24"/>
          <w:szCs w:val="24"/>
          <w:lang w:eastAsia="es-ES"/>
        </w:rPr>
      </w:pPr>
      <w:r w:rsidRPr="008E0D26">
        <w:rPr>
          <w:rFonts w:ascii="Arial" w:eastAsia="Times New Roman" w:hAnsi="Arial" w:cs="Arial"/>
          <w:sz w:val="24"/>
          <w:szCs w:val="24"/>
          <w:lang w:eastAsia="es-ES"/>
        </w:rPr>
        <w:t>Transfusión simple.</w:t>
      </w:r>
    </w:p>
    <w:p w:rsidR="008E0D26" w:rsidRPr="008E0D26" w:rsidRDefault="008E0D26" w:rsidP="008E0D26">
      <w:pPr>
        <w:numPr>
          <w:ilvl w:val="0"/>
          <w:numId w:val="3"/>
        </w:numPr>
        <w:autoSpaceDE w:val="0"/>
        <w:autoSpaceDN w:val="0"/>
        <w:adjustRightInd w:val="0"/>
        <w:spacing w:after="0" w:line="360" w:lineRule="auto"/>
        <w:jc w:val="both"/>
        <w:rPr>
          <w:rFonts w:ascii="Arial" w:eastAsia="Times New Roman" w:hAnsi="Arial" w:cs="Arial"/>
          <w:sz w:val="24"/>
          <w:szCs w:val="24"/>
          <w:lang w:eastAsia="es-ES"/>
        </w:rPr>
      </w:pPr>
      <w:proofErr w:type="spellStart"/>
      <w:r w:rsidRPr="008E0D26">
        <w:rPr>
          <w:rFonts w:ascii="Arial" w:eastAsia="Times New Roman" w:hAnsi="Arial" w:cs="Arial"/>
          <w:sz w:val="24"/>
          <w:szCs w:val="24"/>
          <w:lang w:eastAsia="es-ES"/>
        </w:rPr>
        <w:t>Exanguinotransfusión</w:t>
      </w:r>
      <w:proofErr w:type="spellEnd"/>
      <w:r w:rsidRPr="008E0D26">
        <w:rPr>
          <w:rFonts w:ascii="Arial" w:eastAsia="Times New Roman" w:hAnsi="Arial" w:cs="Arial"/>
          <w:sz w:val="24"/>
          <w:szCs w:val="24"/>
          <w:lang w:eastAsia="es-ES"/>
        </w:rPr>
        <w:t xml:space="preserve">. </w:t>
      </w:r>
    </w:p>
    <w:p w:rsidR="008E0D26" w:rsidRPr="008E0D26" w:rsidRDefault="008E0D26" w:rsidP="008E0D26">
      <w:pPr>
        <w:numPr>
          <w:ilvl w:val="0"/>
          <w:numId w:val="3"/>
        </w:numPr>
        <w:autoSpaceDE w:val="0"/>
        <w:autoSpaceDN w:val="0"/>
        <w:adjustRightInd w:val="0"/>
        <w:spacing w:after="0" w:line="360" w:lineRule="auto"/>
        <w:jc w:val="both"/>
        <w:rPr>
          <w:rFonts w:ascii="Arial" w:eastAsia="Times New Roman" w:hAnsi="Arial" w:cs="Arial"/>
          <w:sz w:val="24"/>
          <w:szCs w:val="24"/>
          <w:lang w:eastAsia="es-ES"/>
        </w:rPr>
      </w:pPr>
      <w:r w:rsidRPr="008E0D26">
        <w:rPr>
          <w:rFonts w:ascii="Arial" w:eastAsia="Times New Roman" w:hAnsi="Arial" w:cs="Arial"/>
          <w:sz w:val="24"/>
          <w:szCs w:val="24"/>
          <w:lang w:eastAsia="es-ES"/>
        </w:rPr>
        <w:t xml:space="preserve">Régimen de transfusión crónica. </w:t>
      </w:r>
    </w:p>
    <w:p w:rsidR="008E0D26" w:rsidRPr="008E0D26" w:rsidRDefault="008E0D26" w:rsidP="008E0D26">
      <w:pPr>
        <w:spacing w:after="0" w:line="360" w:lineRule="auto"/>
        <w:jc w:val="both"/>
        <w:rPr>
          <w:rFonts w:ascii="Arial" w:eastAsia="Times New Roman" w:hAnsi="Arial" w:cs="Arial"/>
          <w:sz w:val="24"/>
          <w:szCs w:val="24"/>
          <w:lang w:val="es-ES" w:eastAsia="es-ES"/>
        </w:rPr>
      </w:pPr>
    </w:p>
    <w:p w:rsidR="008E0D26" w:rsidRPr="008E0D26" w:rsidRDefault="008E0D26" w:rsidP="008E0D26">
      <w:p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 xml:space="preserve">La </w:t>
      </w:r>
      <w:r w:rsidRPr="008E0D26">
        <w:rPr>
          <w:rFonts w:ascii="Arial" w:eastAsia="Times New Roman" w:hAnsi="Arial" w:cs="Arial"/>
          <w:b/>
          <w:sz w:val="24"/>
          <w:szCs w:val="24"/>
          <w:lang w:val="es-ES" w:eastAsia="es-ES"/>
        </w:rPr>
        <w:t>Talasemia</w:t>
      </w:r>
      <w:r w:rsidRPr="008E0D26">
        <w:rPr>
          <w:rFonts w:ascii="Arial" w:eastAsia="Times New Roman" w:hAnsi="Arial" w:cs="Arial"/>
          <w:sz w:val="24"/>
          <w:szCs w:val="24"/>
          <w:lang w:val="es-ES" w:eastAsia="es-ES"/>
        </w:rPr>
        <w:t xml:space="preserve"> es una hemoglobinopatía, tratadas con un régimen de transfusión crónica que mantiene los niveles de </w:t>
      </w:r>
      <w:proofErr w:type="spellStart"/>
      <w:r w:rsidRPr="008E0D26">
        <w:rPr>
          <w:rFonts w:ascii="Arial" w:eastAsia="Times New Roman" w:hAnsi="Arial" w:cs="Arial"/>
          <w:sz w:val="24"/>
          <w:szCs w:val="24"/>
          <w:lang w:val="es-ES" w:eastAsia="es-ES"/>
        </w:rPr>
        <w:t>Hb</w:t>
      </w:r>
      <w:proofErr w:type="spellEnd"/>
      <w:r w:rsidRPr="008E0D26">
        <w:rPr>
          <w:rFonts w:ascii="Arial" w:eastAsia="Times New Roman" w:hAnsi="Arial" w:cs="Arial"/>
          <w:sz w:val="24"/>
          <w:szCs w:val="24"/>
          <w:lang w:val="es-ES" w:eastAsia="es-ES"/>
        </w:rPr>
        <w:t xml:space="preserve"> entre 90 y 100 g/l.</w:t>
      </w:r>
    </w:p>
    <w:p w:rsidR="008E0D26" w:rsidRPr="008E0D26" w:rsidRDefault="008E0D26" w:rsidP="008E0D26">
      <w:pPr>
        <w:spacing w:after="0" w:line="360" w:lineRule="auto"/>
        <w:jc w:val="both"/>
        <w:rPr>
          <w:rFonts w:eastAsia="Times New Roman" w:cs="Arial"/>
          <w:sz w:val="24"/>
          <w:szCs w:val="24"/>
          <w:lang w:val="es-ES" w:eastAsia="es-ES"/>
        </w:rPr>
      </w:pPr>
    </w:p>
    <w:p w:rsidR="008E0D26" w:rsidRPr="008E0D26" w:rsidRDefault="008E0D26" w:rsidP="008E0D26">
      <w:pPr>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eastAsia="es-ES"/>
        </w:rPr>
        <w:t>En las</w:t>
      </w:r>
      <w:r w:rsidRPr="008E0D26">
        <w:rPr>
          <w:rFonts w:ascii="Arial" w:eastAsia="Times New Roman" w:hAnsi="Arial" w:cs="Arial"/>
          <w:b/>
          <w:sz w:val="24"/>
          <w:szCs w:val="24"/>
          <w:lang w:eastAsia="es-ES"/>
        </w:rPr>
        <w:t xml:space="preserve"> AHAI </w:t>
      </w:r>
      <w:r w:rsidRPr="008E0D26">
        <w:rPr>
          <w:rFonts w:ascii="Arial" w:eastAsia="Times New Roman" w:hAnsi="Arial" w:cs="Arial"/>
          <w:sz w:val="24"/>
          <w:szCs w:val="24"/>
          <w:lang w:eastAsia="es-ES"/>
        </w:rPr>
        <w:t xml:space="preserve">ocurre una destrucción acelerada de los eritrocitos mediada por </w:t>
      </w:r>
      <w:proofErr w:type="spellStart"/>
      <w:r w:rsidRPr="008E0D26">
        <w:rPr>
          <w:rFonts w:ascii="Arial" w:eastAsia="Times New Roman" w:hAnsi="Arial" w:cs="Arial"/>
          <w:sz w:val="24"/>
          <w:szCs w:val="24"/>
          <w:lang w:eastAsia="es-ES"/>
        </w:rPr>
        <w:t>autoanticuerpos</w:t>
      </w:r>
      <w:proofErr w:type="spellEnd"/>
      <w:r w:rsidRPr="008E0D26">
        <w:rPr>
          <w:rFonts w:ascii="Arial" w:eastAsia="Times New Roman" w:hAnsi="Arial" w:cs="Arial"/>
          <w:sz w:val="24"/>
          <w:szCs w:val="24"/>
          <w:lang w:eastAsia="es-ES"/>
        </w:rPr>
        <w:t xml:space="preserve"> contra sus propios antígenos </w:t>
      </w:r>
      <w:proofErr w:type="spellStart"/>
      <w:r w:rsidRPr="008E0D26">
        <w:rPr>
          <w:rFonts w:ascii="Arial" w:eastAsia="Times New Roman" w:hAnsi="Arial" w:cs="Arial"/>
          <w:sz w:val="24"/>
          <w:szCs w:val="24"/>
          <w:lang w:eastAsia="es-ES"/>
        </w:rPr>
        <w:t>eritrocitarios</w:t>
      </w:r>
      <w:proofErr w:type="spellEnd"/>
      <w:r w:rsidRPr="008E0D26">
        <w:rPr>
          <w:rFonts w:ascii="Arial" w:eastAsia="Times New Roman" w:hAnsi="Arial" w:cs="Arial"/>
          <w:sz w:val="24"/>
          <w:szCs w:val="24"/>
          <w:lang w:eastAsia="es-ES"/>
        </w:rPr>
        <w:t>,</w:t>
      </w:r>
    </w:p>
    <w:p w:rsidR="008E0D26" w:rsidRPr="008E0D26" w:rsidRDefault="008E0D26" w:rsidP="008E0D26">
      <w:pPr>
        <w:autoSpaceDE w:val="0"/>
        <w:autoSpaceDN w:val="0"/>
        <w:adjustRightInd w:val="0"/>
        <w:spacing w:after="0" w:line="360" w:lineRule="auto"/>
        <w:jc w:val="both"/>
        <w:rPr>
          <w:rFonts w:ascii="Arial" w:eastAsia="Times New Roman" w:hAnsi="Arial" w:cs="Arial"/>
          <w:iCs/>
          <w:sz w:val="24"/>
          <w:szCs w:val="24"/>
          <w:lang w:val="es-ES" w:eastAsia="es-ES"/>
        </w:rPr>
      </w:pPr>
      <w:r w:rsidRPr="008E0D26">
        <w:rPr>
          <w:rFonts w:ascii="Arial" w:eastAsia="Times New Roman" w:hAnsi="Arial" w:cs="Arial"/>
          <w:iCs/>
          <w:sz w:val="24"/>
          <w:szCs w:val="24"/>
          <w:lang w:val="es-ES" w:eastAsia="es-ES"/>
        </w:rPr>
        <w:t>CLASIFICACIÓN</w:t>
      </w:r>
    </w:p>
    <w:p w:rsidR="008E0D26" w:rsidRPr="008E0D26" w:rsidRDefault="008E0D26" w:rsidP="008E0D26">
      <w:pPr>
        <w:numPr>
          <w:ilvl w:val="0"/>
          <w:numId w:val="5"/>
        </w:num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Anemia hemolítica autoinmune por anticuerpos calientes.</w:t>
      </w:r>
    </w:p>
    <w:p w:rsidR="008E0D26" w:rsidRPr="008E0D26" w:rsidRDefault="008E0D26" w:rsidP="008E0D26">
      <w:pPr>
        <w:numPr>
          <w:ilvl w:val="0"/>
          <w:numId w:val="5"/>
        </w:num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Anemia hemolítica autoinmune secundaria a fármacos.</w:t>
      </w:r>
    </w:p>
    <w:p w:rsidR="008E0D26" w:rsidRPr="008E0D26" w:rsidRDefault="008E0D26" w:rsidP="008E0D26">
      <w:pPr>
        <w:numPr>
          <w:ilvl w:val="0"/>
          <w:numId w:val="4"/>
        </w:num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Síndrome de aglutininas frías.</w:t>
      </w:r>
    </w:p>
    <w:p w:rsidR="008E0D26" w:rsidRPr="008E0D26" w:rsidRDefault="008E0D26" w:rsidP="008E0D26">
      <w:pPr>
        <w:numPr>
          <w:ilvl w:val="0"/>
          <w:numId w:val="4"/>
        </w:num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 xml:space="preserve">Hemoglobinuria paroxística a </w:t>
      </w:r>
      <w:proofErr w:type="spellStart"/>
      <w:r w:rsidRPr="008E0D26">
        <w:rPr>
          <w:rFonts w:ascii="Arial" w:eastAsia="Times New Roman" w:hAnsi="Arial" w:cs="Arial"/>
          <w:sz w:val="24"/>
          <w:szCs w:val="24"/>
          <w:lang w:val="es-ES" w:eastAsia="es-ES"/>
        </w:rPr>
        <w:t>frígore</w:t>
      </w:r>
      <w:proofErr w:type="spellEnd"/>
      <w:r w:rsidRPr="008E0D26">
        <w:rPr>
          <w:rFonts w:ascii="Arial" w:eastAsia="Times New Roman" w:hAnsi="Arial" w:cs="Arial"/>
          <w:sz w:val="24"/>
          <w:szCs w:val="24"/>
          <w:lang w:val="es-ES" w:eastAsia="es-ES"/>
        </w:rPr>
        <w:t>.</w:t>
      </w:r>
    </w:p>
    <w:p w:rsidR="008E0D26" w:rsidRPr="008E0D26" w:rsidRDefault="008E0D26" w:rsidP="008E0D26">
      <w:pPr>
        <w:numPr>
          <w:ilvl w:val="0"/>
          <w:numId w:val="4"/>
        </w:numPr>
        <w:autoSpaceDE w:val="0"/>
        <w:autoSpaceDN w:val="0"/>
        <w:adjustRightInd w:val="0"/>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Anemia hemolítica autoinmune mixta.</w:t>
      </w:r>
    </w:p>
    <w:p w:rsidR="008E0D26" w:rsidRPr="008E0D26" w:rsidRDefault="008E0D26" w:rsidP="008E0D26">
      <w:pPr>
        <w:spacing w:after="0" w:line="360" w:lineRule="auto"/>
        <w:jc w:val="both"/>
        <w:rPr>
          <w:rFonts w:ascii="Arial" w:eastAsia="Times New Roman" w:hAnsi="Arial" w:cs="Arial"/>
          <w:sz w:val="24"/>
          <w:szCs w:val="24"/>
          <w:lang w:val="es-ES" w:eastAsia="es-ES"/>
        </w:rPr>
      </w:pPr>
      <w:r w:rsidRPr="008E0D26">
        <w:rPr>
          <w:rFonts w:ascii="Arial" w:eastAsia="Times New Roman" w:hAnsi="Arial" w:cs="Arial"/>
          <w:sz w:val="24"/>
          <w:szCs w:val="24"/>
          <w:lang w:val="es-ES" w:eastAsia="es-ES"/>
        </w:rPr>
        <w:t>Requisitos a tener en cuenta si fuese necesaria la hemoterapia en estas entidades.</w:t>
      </w:r>
    </w:p>
    <w:p w:rsidR="00D57536" w:rsidRPr="008E0D26" w:rsidRDefault="00D57536" w:rsidP="008E0D26">
      <w:pPr>
        <w:spacing w:line="360" w:lineRule="auto"/>
        <w:jc w:val="both"/>
        <w:rPr>
          <w:sz w:val="24"/>
          <w:szCs w:val="24"/>
        </w:rPr>
      </w:pPr>
      <w:bookmarkStart w:id="0" w:name="_GoBack"/>
      <w:bookmarkEnd w:id="0"/>
    </w:p>
    <w:sectPr w:rsidR="00D57536" w:rsidRPr="008E0D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94BA56"/>
    <w:lvl w:ilvl="0">
      <w:numFmt w:val="decimal"/>
      <w:lvlText w:val="*"/>
      <w:lvlJc w:val="left"/>
    </w:lvl>
  </w:abstractNum>
  <w:abstractNum w:abstractNumId="1">
    <w:nsid w:val="036E355D"/>
    <w:multiLevelType w:val="hybridMultilevel"/>
    <w:tmpl w:val="BCA498B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16F43DAC"/>
    <w:multiLevelType w:val="hybridMultilevel"/>
    <w:tmpl w:val="5100D6C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25A320B8"/>
    <w:multiLevelType w:val="hybridMultilevel"/>
    <w:tmpl w:val="09FC6DA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4753D9"/>
    <w:multiLevelType w:val="hybridMultilevel"/>
    <w:tmpl w:val="C7EC3A7C"/>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26"/>
    <w:rsid w:val="008E0D26"/>
    <w:rsid w:val="00D57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FA57C-2D74-42FA-8CDC-430B7109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26"/>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 Díaz Hernández</dc:creator>
  <cp:keywords/>
  <dc:description/>
  <cp:lastModifiedBy>Lazaro Díaz Hernández</cp:lastModifiedBy>
  <cp:revision>1</cp:revision>
  <dcterms:created xsi:type="dcterms:W3CDTF">2020-04-17T15:43:00Z</dcterms:created>
  <dcterms:modified xsi:type="dcterms:W3CDTF">2020-04-17T15:43:00Z</dcterms:modified>
</cp:coreProperties>
</file>