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B2" w:rsidRDefault="001933B2" w:rsidP="001933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 de caso</w:t>
      </w:r>
    </w:p>
    <w:p w:rsidR="001933B2" w:rsidRDefault="001933B2" w:rsidP="001933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Síndrome de DRESS asociado al uso de anticonvulsivantes</w:t>
      </w: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DRESS syndrome associated to the use of a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nti-convulsiveness</w:t>
      </w: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1933B2" w:rsidRPr="00A14935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35">
        <w:rPr>
          <w:rFonts w:ascii="Times New Roman" w:hAnsi="Times New Roman" w:cs="Times New Roman"/>
          <w:color w:val="000000" w:themeColor="text1"/>
          <w:sz w:val="24"/>
          <w:szCs w:val="24"/>
        </w:rPr>
        <w:t>Antonio Belaunde Clausell</w:t>
      </w:r>
      <w:r w:rsidRPr="00A149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1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A1493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</w:rPr>
          <w:t>https://orcid.org/0000-0002-5602-0188</w:t>
        </w:r>
      </w:hyperlink>
      <w:r w:rsidRPr="00A1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33B2" w:rsidRPr="00A14935" w:rsidRDefault="001933B2" w:rsidP="001933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3B2" w:rsidRPr="00A14935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14935">
        <w:rPr>
          <w:rFonts w:ascii="Times New Roman" w:hAnsi="Times New Roman" w:cs="Times New Roman"/>
          <w:color w:val="000000" w:themeColor="text1"/>
          <w:sz w:val="24"/>
          <w:szCs w:val="24"/>
        </w:rPr>
        <w:t>Hospital Militar Central “Dr. Carlos J. Finlay”. La Habana, Cuba.</w:t>
      </w:r>
    </w:p>
    <w:p w:rsidR="001933B2" w:rsidRPr="00A14935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*Autor para la correspondencia. Correo electrónico: </w:t>
      </w:r>
      <w:hyperlink r:id="rId6" w:history="1">
        <w:r w:rsidRPr="00A1493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</w:rPr>
          <w:t>hfinlay32@infomed.sld.cu</w:t>
        </w:r>
      </w:hyperlink>
      <w:r w:rsidRPr="00A1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33B2" w:rsidRP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Introducción: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El síndrome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Drug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Eosinophilia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Systemic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Symptoms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DRESS, constituye una grave reacción adversa a medicamentos, principalmente a fármacos anticonvulsivantes.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>
        <w:rPr>
          <w:rFonts w:ascii="Times New Roman" w:hAnsi="Times New Roman" w:cs="Times New Roman"/>
          <w:sz w:val="24"/>
          <w:szCs w:val="24"/>
        </w:rPr>
        <w:t>Describir la evolución clínica de un síndrome de DRESS en una paciente atendida en el Hospital Militar Central “Dr. Luis Díaz Soto”.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Caso Clínico: </w:t>
      </w:r>
      <w:r>
        <w:rPr>
          <w:rFonts w:ascii="Times New Roman" w:hAnsi="Times New Roman" w:cs="Times New Roman"/>
          <w:sz w:val="24"/>
          <w:szCs w:val="24"/>
        </w:rPr>
        <w:t>Paciente femenina de 27 años de edad con antecedentes patológicos personales de epilepsia</w:t>
      </w:r>
      <w:r>
        <w:rPr>
          <w:rFonts w:ascii="Times New Roman" w:hAnsi="Times New Roman" w:cs="Times New Roman"/>
          <w:bCs/>
          <w:sz w:val="24"/>
          <w:szCs w:val="24"/>
        </w:rPr>
        <w:t xml:space="preserve">. Tres meses luego de iniciada terapia con difenilhidantoína aparece fiebre, exantema maculopapular que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progresa a eritrodermia exfoliativa, signos de daño hepático, adenopatías cervicales y eosinofilia. Se diagnosticó síndrome de DRESS secundaria al uso de anticonvulsivantes. 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Conclusiones: </w:t>
      </w:r>
      <w:r>
        <w:rPr>
          <w:rFonts w:ascii="Times New Roman" w:hAnsi="Times New Roman" w:cs="Times New Roman"/>
          <w:color w:val="000000"/>
          <w:sz w:val="24"/>
          <w:szCs w:val="24"/>
        </w:rPr>
        <w:t>La evolución clínica resultó favorable, luego de la retirada del fármaco y la aplicación de esteroides por vía oral.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Palabras claves: </w:t>
      </w:r>
      <w:r>
        <w:rPr>
          <w:rFonts w:ascii="Times New Roman" w:hAnsi="Times New Roman" w:cs="Times New Roman"/>
          <w:color w:val="000000"/>
          <w:sz w:val="24"/>
          <w:szCs w:val="24"/>
        </w:rPr>
        <w:t>fiebre; eosinofilia; exantema; anticonvulsivante.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ABSTRACT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Introduction: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933B2">
        <w:rPr>
          <w:rFonts w:ascii="Times New Roman" w:hAnsi="Times New Roman" w:cs="Times New Roman"/>
          <w:color w:val="231F20"/>
          <w:sz w:val="24"/>
          <w:szCs w:val="24"/>
          <w:lang w:val="en-US"/>
        </w:rPr>
        <w:t>Drug Reaction with Eosinophilia and Systemic Symptoms –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DRESS, syndrome constitutes a serious adverse reaction to medications, mainly anticonvulsant drugs.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Objective: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To describe the clinical evolution of DRESS syndrome in a patient treated at the Hospital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Militar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Central “</w:t>
      </w:r>
      <w:r w:rsidRPr="001933B2">
        <w:rPr>
          <w:rFonts w:ascii="Times New Roman" w:hAnsi="Times New Roman" w:cs="Times New Roman"/>
          <w:sz w:val="24"/>
          <w:szCs w:val="24"/>
          <w:lang w:val="en-US"/>
        </w:rPr>
        <w:t xml:space="preserve">Dr. Luis </w:t>
      </w:r>
      <w:proofErr w:type="spellStart"/>
      <w:r w:rsidRPr="001933B2">
        <w:rPr>
          <w:rFonts w:ascii="Times New Roman" w:hAnsi="Times New Roman" w:cs="Times New Roman"/>
          <w:sz w:val="24"/>
          <w:szCs w:val="24"/>
          <w:lang w:val="en-US"/>
        </w:rPr>
        <w:t>Díaz</w:t>
      </w:r>
      <w:proofErr w:type="spellEnd"/>
      <w:r w:rsidRPr="001933B2">
        <w:rPr>
          <w:rFonts w:ascii="Times New Roman" w:hAnsi="Times New Roman" w:cs="Times New Roman"/>
          <w:sz w:val="24"/>
          <w:szCs w:val="24"/>
          <w:lang w:val="en-US"/>
        </w:rPr>
        <w:t xml:space="preserve"> Soto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”.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Case Report: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27-year-old female patient with a personal pathological history of epilepsy. Three months after initiation of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diphenylhydantoin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therapy, fever appeared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lastRenderedPageBreak/>
        <w:t xml:space="preserve">maculopapular rash that progressed to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exfoliative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erythroderma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signs of liver damage, cervical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adenopathies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and eosinophilia. DRESS syndrome was diagnosed secondary to the use of anticonvulsants.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Conclusions: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clinical evolution was favorable, after the withdrawal of the drug and the application of steroids orally.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Keywords: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fever; eosinophilia; exanthema; anticonvulsant.</w:t>
      </w:r>
    </w:p>
    <w:p w:rsidR="001933B2" w:rsidRDefault="001933B2" w:rsidP="009139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El síndrome de DRESS (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Drug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Eosinophilia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Systemic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Symptoms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por sus siglas en inglés) constituye una grave reacción adversa a medicamentos, principalmente a fármacos anticonvulsivantes.</w:t>
      </w: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Aunque ya desde 1940 existen reportes en la literatura de síndromes de hipersensibilidad cutánea asociados a antiepilépticos, la primera descripción de la entidad, ahora conocida como DRESS, fue hecha </w:t>
      </w:r>
      <w:r>
        <w:rPr>
          <w:rFonts w:ascii="Times New Roman" w:hAnsi="Times New Roman" w:cs="Times New Roman"/>
          <w:sz w:val="24"/>
          <w:szCs w:val="24"/>
        </w:rPr>
        <w:t xml:space="preserve">en 1959 por </w:t>
      </w:r>
      <w:r>
        <w:rPr>
          <w:rFonts w:ascii="Times New Roman" w:hAnsi="Times New Roman" w:cs="Times New Roman"/>
          <w:i/>
          <w:sz w:val="24"/>
          <w:szCs w:val="24"/>
        </w:rPr>
        <w:t xml:space="preserve">Sidney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Saltzstein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 cual utilizó el término “linfoma </w:t>
      </w:r>
      <w:r>
        <w:rPr>
          <w:rFonts w:ascii="Times New Roman" w:hAnsi="Times New Roman" w:cs="Times New Roman"/>
          <w:color w:val="231F20"/>
          <w:sz w:val="24"/>
          <w:szCs w:val="24"/>
        </w:rPr>
        <w:t>inducido por medicamentos” para describir las reacciones adversas cutáneas y hallazgos histológicos compatibles con linfoma.</w:t>
      </w: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(2,3)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Bocquet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otros definieron y caracterizaron a esta enfermedad y la nombraron síndrome DRESS.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(4)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Aunque se han utilizado numerosos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inónimos, la mayoría hace referencia al fármaco implicado en la reacción (por ejemplo, síndrome por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dapsona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síndrome de hipersensibilidad al alopurinol o síndrome de hipersensibilidad por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anticomiciales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Por último, si bien el trastorno incluye una dermatosis característica, la extensión del compromiso cutáneo suele ser variable, de allí que la “R” del acrónimo fuera cambiada de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(erupción) a “Reacción”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Este síndrome tiene una incidencia estimada de aparición entre 1 en 1 000 a 1 en 10 000 pacientes expuestos a drogas. Aparece generalmente después de 2 a 6 semanas de haber iniciado la terapia farmacológica y los síntomas pueden agravarse si no se suspende el fármaco implicado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1)</w:t>
      </w:r>
    </w:p>
    <w:p w:rsidR="001933B2" w:rsidRPr="008765C0" w:rsidRDefault="001933B2" w:rsidP="008765C0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El síndrome de DRESS tiene una mortalidad estimada del 10 %, mayor a procesos graves como el síndrome Stevens-Johnson (1- 5 %) y pustulosis exantémica generalizada (5 %) pero menor a la causada por necrólisis epidérmica tóxica; todas estas con una alta tasa de complicaciones y/o secuelas. El manejo principal consiste en suspender el fármaco causante, iniciar manejo hemodinámico inmediato y administrar corticoesteroides sistémicos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Se realiza el presente reporte de caso con el objetivo de describir la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evolución de un caso con síndrome DRESS por anticonvulsivantes.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CASO CLÍNICO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Paciente femenina, de 27 años, mestiza, con antecedentes personales de salud aparente, hasta 3 meses antes del ingreso, cuando presenta dos episodios convulsivos y se diagnostica epilepsia. Comenzó tratamiento con </w:t>
      </w:r>
      <w:r>
        <w:rPr>
          <w:rFonts w:ascii="Times New Roman" w:hAnsi="Times New Roman" w:cs="Times New Roman"/>
          <w:bCs/>
          <w:sz w:val="24"/>
          <w:szCs w:val="24"/>
        </w:rPr>
        <w:t>difenilhidantoína (tableta de 50 mg) 5 tabletas diarias. Una semana antes del ingreso comenzó con fiebre de 38 ˚C, dos picos al día durante dos días, asociada a artralgias de grandes articulaciones y toma marcada del estado general. Siete días después reapareció la fiebre de 38- 38,5 ˚C, dos picos al día, sin escalofríos, con un patrón remitente, por tal motivo se decidió su ingreso.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Examen físico: Mucosas húmedas, con ictericia de tonalidad rubínica; se constata en la piel exantema maculopapular generalizado, pruriginoso; hepatomegalia que rebasa el reborde costal en cinco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traveses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dedo, no dolorosa, de bordes romos y superficie lisa; adenopatías cervicales posteriores y axilares de aproximadamente 2 cm de diámetro, no dolorosas, fibroelásticas y no adheridas a planos profundos.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Evolución: Fue ingresada con diagnóstico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Tuvo evolución tórpida con empeoramiento del estado general; persistía la hipertermia; el exantema maculopapular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progresó a eritrodermia exfoliativa (Fig. 1 y 2). Se decidió suspender el tratamiento con </w:t>
      </w:r>
      <w:r>
        <w:rPr>
          <w:rFonts w:ascii="Times New Roman" w:hAnsi="Times New Roman" w:cs="Times New Roman"/>
          <w:bCs/>
          <w:sz w:val="24"/>
          <w:szCs w:val="24"/>
        </w:rPr>
        <w:t>difenilhidantoína y comenzar tratamiento profuso con soluciones hidroelectrolíticas y prednisona, 50 mg.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068955" cy="22999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1 -</w:t>
      </w:r>
      <w:r>
        <w:rPr>
          <w:rFonts w:ascii="Times New Roman" w:hAnsi="Times New Roman" w:cs="Times New Roman"/>
          <w:bCs/>
          <w:sz w:val="24"/>
          <w:szCs w:val="24"/>
        </w:rPr>
        <w:t xml:space="preserve"> Eritrodermia exfoliativa en dorso del pie y tercio distal del miembro inferior izquierdo.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3061970" cy="223075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2 -</w:t>
      </w:r>
      <w:r>
        <w:rPr>
          <w:rFonts w:ascii="Times New Roman" w:hAnsi="Times New Roman" w:cs="Times New Roman"/>
          <w:bCs/>
          <w:sz w:val="24"/>
          <w:szCs w:val="24"/>
        </w:rPr>
        <w:t xml:space="preserve"> Eritrodermia exfoliativa en dorso de la mano derecha y dedos.</w:t>
      </w: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los 30 días </w:t>
      </w:r>
      <w:r>
        <w:rPr>
          <w:rFonts w:ascii="Times New Roman" w:hAnsi="Times New Roman" w:cs="Times New Roman"/>
          <w:color w:val="000000"/>
          <w:sz w:val="24"/>
          <w:szCs w:val="24"/>
        </w:rPr>
        <w:t>de hospitalización, la bilirrubina, la alanina aminotransferasa y la aspartato aminotransferasa habían descendido a valores normales. Se dio de alta a la paciente con tratamiento a base de 30 mg de prednisona con esquema de reducción. El tratamiento anticonvulsivo se instaló a base de ácido valproico.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Complementarios: Hemoglobina 12,2</w:t>
      </w:r>
      <w:r>
        <w:rPr>
          <w:rFonts w:ascii="Times New Roman" w:hAnsi="Times New Roman" w:cs="Times New Roman"/>
          <w:sz w:val="24"/>
          <w:szCs w:val="24"/>
        </w:rPr>
        <w:t xml:space="preserve"> g/L; leucocitosis 13,5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/L; neutrófilos 25 %; linfocitos 0,1 %; eosinófilos 1,6 %; plaquetas 193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/L; VSG 80 mm/h; TGO 378 U/L; TGP 673 U/L; GGT 340 U/L; FAL 263 U/L; creatinina 183 </w:t>
      </w:r>
      <w:r>
        <w:rPr>
          <w:rFonts w:ascii="Times New Roman" w:hAnsi="Times New Roman" w:cs="Times New Roman"/>
          <w:bCs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 xml:space="preserve">mol/L; glucosa 8,3 mmol/L; bilirrubina total 64,6 mmol/L; bilirrubina directa 58,6 mmol/L; proteínas totales 58,4 mmol/L, albúmina 35 mmol/L; colesterol 2,9 mmol/L,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triacilglicéridos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2,31 mmol/L.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Lámina periférica: Hipocromía;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macrocitos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X; </w:t>
      </w:r>
      <w:proofErr w:type="spellStart"/>
      <w:r>
        <w:rPr>
          <w:rFonts w:ascii="Times New Roman" w:hAnsi="Times New Roman" w:cs="Times New Roman"/>
          <w:sz w:val="24"/>
          <w:szCs w:val="24"/>
        </w:rPr>
        <w:t>poiquilocitosis</w:t>
      </w:r>
      <w:proofErr w:type="spellEnd"/>
      <w:r>
        <w:rPr>
          <w:rFonts w:ascii="Times New Roman" w:hAnsi="Times New Roman" w:cs="Times New Roman"/>
          <w:sz w:val="24"/>
          <w:szCs w:val="24"/>
        </w:rPr>
        <w:t>: crenocitos, ovalocitos y estomatocitos.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Coagulograma: Coágulo retráctil; tiempo de protrombina, control 14'', paciente 34''. Tiempo parcial de tromboplastina 21,2''.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Ecografía abdominal: Hígado que rebasa el reborde costal en 5cm; bordes romos, no lesiones focales; vesícula y vías biliares sin alteraciones; riñones y páncreas normales; Bazo que mide 133 x 90 </w:t>
      </w:r>
      <w:proofErr w:type="spellStart"/>
      <w:r>
        <w:rPr>
          <w:rFonts w:ascii="Times New Roman" w:hAnsi="Times New Roman" w:cs="Times New Roman"/>
          <w:sz w:val="24"/>
          <w:szCs w:val="24"/>
        </w:rPr>
        <w:t>mm.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hay líquido libre.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Serología para VIH, sífilis, VHB y VHC: negativos; hemocultivos seriados: negativos.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COMENTARIOS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patogenia del síndrome DRESS no ha sido del todo esclarecida. Se han postulado diversas causas, como defectos de desintoxicación que producen metabolitos reactivos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que actúan como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haptenos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desencadenan una respuesta inmune específica contra el fármaco, mediada por linfocitos 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Los medicamentos que se han asociado a DRESS incluyen, en primer lugar,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carbamazepina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seguida por alopurinol,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sulfasalazina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fenobarbital, lamotrigina,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fenitoína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abacavir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difenilsulfona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vancomicina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beta bloqueadores, IECA,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minociclina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AINEs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cefalosporinas y fármacos antituberculosos.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(6,7)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síndrome se manifiesta entre 3 semanas y 3 meses después de administrar la droga (promedio: 2 meses), pero es más acelerado en casos de reiniciar el uso de la sustancia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síntomas iniciales son: fiebre (90- 100 % de los casos) elevada (38- 40 ˚C) que persiste días o semanas y erupción morbiliforme (87 %)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reacción cutánea consiste en una erupción morbiliforme similar a la que puede observarse en otras reacciones medicamentosas menos graves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lesiones aparecen inicialmente en cara, tronco superior y extremidades superiores, pueden progresar después hacia extremidades inferiores y en etapas tardías se disemina en piernas; evoluciona a una erupción eritrodérmica cuya severidad no refleja el compromiso de los órganos internos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diferencia de la </w:t>
      </w:r>
      <w:r>
        <w:rPr>
          <w:rFonts w:ascii="Times New Roman" w:hAnsi="Times New Roman" w:cs="Times New Roman"/>
          <w:color w:val="231F20"/>
          <w:sz w:val="24"/>
          <w:szCs w:val="24"/>
        </w:rPr>
        <w:t>necrólisis epidérmica tóxica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no hay necrosis de la epidermis excepto en raros casos en que estas entidades son concomitantes,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observan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pústulas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perifoliculares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pequeñas y no foliculares, cuyo aspecto es distinto de la pustulosis exantemática generalizada y no muestra predominio en pliegues cutáneos. Con la evolución, la erupción se vuelve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purpúrica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al final se observa una descamación generalizada de tipo folicular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 común (70- 75 % de los casos) hallar linfadenopatía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11) </w:t>
      </w:r>
      <w:r>
        <w:rPr>
          <w:rFonts w:ascii="Times New Roman" w:hAnsi="Times New Roman" w:cs="Times New Roman"/>
          <w:color w:val="000000"/>
          <w:sz w:val="24"/>
          <w:szCs w:val="24"/>
        </w:rPr>
        <w:t>El compromiso multiorgánico involucra numerosos órganos y sistemas. Las complicaciones pueden incluir miocarditis/ miositis, pericarditis, nefritis intersticial, granulomatosis necrosante y vasculitis renal, encefalitis o meningitis, colitis y tiroiditis. El compromiso multiorgánico es potencialmente mortal, casi siempre inicia 1-2 semanas después de la aparición de la erupción. Se ha informado de estados de choque y síndrome de distrés respiratorio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11,12)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Después de linfadenopatía, el compromiso hepático es la complicación visceral más común (50- 60 %), y a menudo es posible detectar hepatomegalia durante la exploración física. El daño abarca desde una leve elevación de enzimas hepáticas asintomática hasta una hepatitis tóxica aguda que puede evolucionar a la necrosis total y como es de suponer, el uso concomitante de fármacos hepatotóxicos puede agravar el cuadro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5,13)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 ha postulado que ocurre daño renal en 11 % de los pacientes, que se manifiesta con cuadros muy diversos e incluye desde hematuria leve y nefritis hasta falla renal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grupo Registro de reacciones adversas cutáneas graves de México (RegiSCAR) sugirió criterios para los pacientes hospitalizados con erupción cutánea y con sospecha de síndrome DRESS: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(5)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3B2" w:rsidRDefault="001933B2" w:rsidP="00193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Hospitalización.</w:t>
      </w:r>
    </w:p>
    <w:p w:rsidR="001933B2" w:rsidRDefault="001933B2" w:rsidP="00193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Sospecha de reacción secundaria a fármaco.</w:t>
      </w:r>
    </w:p>
    <w:p w:rsidR="001933B2" w:rsidRDefault="001933B2" w:rsidP="00193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Exantema agudo.</w:t>
      </w:r>
    </w:p>
    <w:p w:rsidR="001933B2" w:rsidRDefault="001933B2" w:rsidP="00193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Fiebre mayor de 38 ˚C.</w:t>
      </w:r>
    </w:p>
    <w:p w:rsidR="001933B2" w:rsidRDefault="001933B2" w:rsidP="00193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Hipertrofia ganglionar.</w:t>
      </w:r>
    </w:p>
    <w:p w:rsidR="001933B2" w:rsidRDefault="001933B2" w:rsidP="00193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Daño de órgano.</w:t>
      </w:r>
    </w:p>
    <w:p w:rsidR="001933B2" w:rsidRDefault="001933B2" w:rsidP="00193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Biometría hemática anormal.</w:t>
      </w:r>
    </w:p>
    <w:p w:rsidR="001933B2" w:rsidRDefault="001933B2" w:rsidP="00193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Eosinofilia.</w:t>
      </w:r>
    </w:p>
    <w:p w:rsidR="001933B2" w:rsidRDefault="001933B2" w:rsidP="00193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Trombocitopenia.</w:t>
      </w:r>
    </w:p>
    <w:p w:rsidR="001933B2" w:rsidRDefault="001933B2" w:rsidP="00193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Linfocitosis o linfopenia.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grupo japonés que investigó las reacciones cutáneas adversas graves a medicamentos (SCAR-J) adoptó otros criterios: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(4)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3B2" w:rsidRDefault="001933B2" w:rsidP="001933B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Exantema maculopapular 3 semana después del contacto con el fármaco sospechado.</w:t>
      </w:r>
    </w:p>
    <w:p w:rsidR="001933B2" w:rsidRDefault="001933B2" w:rsidP="001933B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Síntomas persistentes luego de la retirada del fármaco por más de 2 semanas.</w:t>
      </w:r>
    </w:p>
    <w:p w:rsidR="001933B2" w:rsidRDefault="001933B2" w:rsidP="001933B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Fiebre mayor de 38 ˚C.</w:t>
      </w:r>
    </w:p>
    <w:p w:rsidR="001933B2" w:rsidRDefault="001933B2" w:rsidP="001933B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Alanina aminotransferasa ˃ 100 U/L.</w:t>
      </w:r>
    </w:p>
    <w:p w:rsidR="001933B2" w:rsidRDefault="001933B2" w:rsidP="001933B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Leucocitosis o leucopenia.</w:t>
      </w:r>
    </w:p>
    <w:p w:rsidR="001933B2" w:rsidRDefault="001933B2" w:rsidP="001933B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Linfocitos atípicos ˃ 5 %.</w:t>
      </w:r>
    </w:p>
    <w:p w:rsidR="001933B2" w:rsidRDefault="001933B2" w:rsidP="001933B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Eosinofilia (˃1,5 x 10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/L).</w:t>
      </w:r>
    </w:p>
    <w:p w:rsidR="001933B2" w:rsidRDefault="001933B2" w:rsidP="001933B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Linfadenopatías.</w:t>
      </w:r>
    </w:p>
    <w:p w:rsidR="001933B2" w:rsidRDefault="001933B2" w:rsidP="001933B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Reactivación del herpes virus humano tipo 6.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Esta paciente cumplía siete de los criterios propuestos por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RegisCar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cinco de los criterios propuestos por el grupo japonés.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Los diagnósticos diferenciales incluyen al síndrome de Stevens-Johnson, caracterizado por lesiones cutáneas en diana que afectan menos de 10 % de la superficie corporal y comprometen las mucosas (90 % de los casos). El cuadro sintomático de DRESS y el síndrome de Stevens-Johnson suele iniciar 2 a 6 semanas después de establecida la terapia medicamentosa, de allí la utilidad de los exámenes paraclínicos para determinar el origen de una dermatosis confusa. Otros diagnósticos diferenciales a considerar son: linfoma, infecciones agudas del virus de Epstein-Barr, virus de hepatitis A y B, estreptococo, pustulosis aguda exantemática generalizada, enfermedad de Still y enfermedad de Kawasaki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4,5)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síndrome de DRESS constituye una grave reacción adversa a un fármaco de tipo idiosincrática. Se debe sospechar siempre en un paciente que se encuentra bajo tratamiento reciente con alguno de los fármacos antes mencionados,  en el que aparece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rupción morbiliforme, signos de compromiso hepático, fiebre, hipereosinofilia y linfadenopatía.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Debido a que su mortalidad es de hasta 10 %, debe tenerse un alto índice de sospecha clínica. </w:t>
      </w:r>
      <w:r>
        <w:rPr>
          <w:rFonts w:ascii="Times New Roman" w:hAnsi="Times New Roman" w:cs="Times New Roman"/>
          <w:color w:val="000000"/>
          <w:sz w:val="24"/>
          <w:szCs w:val="24"/>
        </w:rPr>
        <w:t>Además de la inmediata suspensión del fármaco causante, la literatura incluye suficientes evidencias para implementar una terapia inicial con esteroides.</w:t>
      </w:r>
    </w:p>
    <w:p w:rsidR="009139D8" w:rsidRDefault="009139D8" w:rsidP="008765C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REFERENCIAS BIBLIOGRÁFICAS</w:t>
      </w: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Castejón Cruz OA, López Salgado DA, Sánchez Barrera RE, Oviedo Ayala EA, Ponce Gómez MK.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Síndrome de DRESS desencadenado por Fenitoína: Comunicación de un caso. CIMEL 2016</w:t>
      </w:r>
      <w:r>
        <w:rPr>
          <w:rFonts w:ascii="Times New Roman" w:hAnsi="Times New Roman" w:cs="Times New Roman"/>
          <w:sz w:val="24"/>
          <w:szCs w:val="24"/>
        </w:rPr>
        <w:t>[acceso: 26/07/2019]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; 21(2) 65-68. Disponible en: </w:t>
      </w:r>
      <w:r>
        <w:rPr>
          <w:rFonts w:ascii="Times New Roman" w:hAnsi="Times New Roman" w:cs="Times New Roman"/>
          <w:sz w:val="24"/>
          <w:szCs w:val="24"/>
        </w:rPr>
        <w:t>https://www.cimel.felsocem.net/index.php/CIMEL/article/view/650/368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Rosenbaum J, Alex G, Roberts H. Drug rash with eosinophilia and systemic symptoms secondary to sulfasalazine. J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Paediatr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Child Health. 2010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26/07/2019]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46(4):193-196.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Disponible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en: </w:t>
      </w:r>
      <w:r>
        <w:rPr>
          <w:rFonts w:ascii="Times New Roman" w:hAnsi="Times New Roman" w:cs="Times New Roman"/>
          <w:sz w:val="24"/>
          <w:szCs w:val="24"/>
          <w:lang w:val="en-US"/>
        </w:rPr>
        <w:t>https://onlinelibrary.wiley.com/doi/full/10.1111/j.1440-1754.2009.01660.x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Walsh S, Creamer D. Drug reaction with eosinophilia and systemic symptoms (DRESS): a clinical update review of current thinking.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Experimental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Dermatology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2011</w:t>
      </w:r>
      <w:r>
        <w:rPr>
          <w:rFonts w:ascii="Times New Roman" w:hAnsi="Times New Roman" w:cs="Times New Roman"/>
          <w:sz w:val="24"/>
          <w:szCs w:val="24"/>
        </w:rPr>
        <w:t>[acceso: 26/07/2019]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36(1): 6-11. Disponible en: </w:t>
      </w:r>
      <w:r>
        <w:rPr>
          <w:rFonts w:ascii="Times New Roman" w:hAnsi="Times New Roman" w:cs="Times New Roman"/>
          <w:sz w:val="24"/>
          <w:szCs w:val="24"/>
        </w:rPr>
        <w:t>https://onlinelibrary.wiley.com/doi/full/10.1111/j.1365-2230.2010.03967.x</w:t>
      </w:r>
    </w:p>
    <w:p w:rsidR="001933B2" w:rsidRDefault="001933B2" w:rsidP="00193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Fernández de Córdova-Rodríguez LR, Guzmán Guillén KA, Fernández de Córdova-Aguirre JC.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Síndrome DRESS o reacción a fármacos con eosinofilia y síntomas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sistémicos asociada con el consumo de fármacos antituberculosos. </w:t>
      </w:r>
      <w:r>
        <w:rPr>
          <w:rFonts w:ascii="Times New Roman" w:hAnsi="Times New Roman" w:cs="Times New Roman"/>
          <w:bCs/>
          <w:sz w:val="24"/>
          <w:szCs w:val="24"/>
        </w:rPr>
        <w:t xml:space="preserve">Revista Alergia México. </w:t>
      </w:r>
      <w:r>
        <w:rPr>
          <w:rFonts w:ascii="Times New Roman" w:hAnsi="Times New Roman" w:cs="Times New Roman"/>
          <w:sz w:val="24"/>
          <w:szCs w:val="24"/>
        </w:rPr>
        <w:t>2015[acceso: 24/07/2019]; 62(2):149-56. Disponible en: http://eds.a.ebscohost.com/eds/detail/detail?vid=0&amp;sid=1647ea74-f974-4077-85f1-616e739f7a89%40sessionmgr4007&amp;bdata=Jmxhbmc9ZXMmc2l0ZT1lZHMtbGl2ZQ%3d%3d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Osuna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J, Toledo Bahena ME, Valencia Herrera A, Ramírez Cortés E, Mena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Cedillos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Reacción por drogas con eosinofilia: Síndrome DRESS, un gran simulador.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Dermatología CMQ. 2013</w:t>
      </w:r>
      <w:r>
        <w:rPr>
          <w:rFonts w:ascii="Times New Roman" w:hAnsi="Times New Roman" w:cs="Times New Roman"/>
          <w:sz w:val="24"/>
          <w:szCs w:val="24"/>
        </w:rPr>
        <w:t>[acceso: 16/06/2019]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11(2):142-7. Disponible en: </w:t>
      </w:r>
      <w:r>
        <w:rPr>
          <w:rFonts w:ascii="Times New Roman" w:hAnsi="Times New Roman" w:cs="Times New Roman"/>
          <w:sz w:val="24"/>
          <w:szCs w:val="24"/>
        </w:rPr>
        <w:t>https://www.medigraphic.com/pdfs/cosmetica/dcm-2013/dcm132m.pdf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Cacoub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Mussette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Descamps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V, Meyer 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Speirs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Finzi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L, et al. The DRESS Syndrome: A Literature Review.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 Am J Med.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2011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16/06/2019]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124(7): 588-597.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Disponible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en: </w:t>
      </w:r>
      <w:r>
        <w:rPr>
          <w:rFonts w:ascii="Times New Roman" w:hAnsi="Times New Roman" w:cs="Times New Roman"/>
          <w:sz w:val="24"/>
          <w:szCs w:val="24"/>
          <w:lang w:val="en-US"/>
        </w:rPr>
        <w:t>https://www.ncbi.nlm.nih.gov/pubmed/21592453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Ghannam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M, Mansour 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Nabulsi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 Anticonvulsant hypersensitivity syndrome after phenytoin administration in an adolescent patient: a case report and review of literature.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ClinMol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Allergy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[acceso: 10/05/2019]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;15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14)[aprox. 15 p.]. Disponible en: https://clinicalmolecularallergy.biomedcentral.com/articles/10.1186/s12948-017-0069-0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Wang F, Li Y, Mo 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C, Yang L, Zhang X. Cutaneous adverse drug reactions: an 8-year retrospective study on hospitalized patients in Southern China.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Venereol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Leprol</w:t>
      </w:r>
      <w:proofErr w:type="spellEnd"/>
      <w:r>
        <w:rPr>
          <w:rFonts w:ascii="Times New Roman" w:hAnsi="Times New Roman" w:cs="Times New Roman"/>
          <w:sz w:val="24"/>
          <w:szCs w:val="24"/>
        </w:rPr>
        <w:t>. 2012[acceso: 16/06/2019]; 78(4): 488-90. Disponible en: http://www.ijdvl.com/article.asp?issn=0378-6323;year=2012;volume=78;issue=4;spage=488;epage=490;aulast=Wang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Fiszenson-Albala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Auzerie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Farinotti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R, Durand-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Stocco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Crickx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B, et al. A 6-month prospective survey of cutaneous drug reactions in a hospital setting.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 J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Dermatol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2003[acceso: 10/05/2019]; 149(5):1018–22. Disponible en; https://onlinelibrary.wiley.com/doi/full/10.1111/j.13652133.2003.05584.x?sid=nlm%3Apubmed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Graña D, Botta C, Núñez M.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Síndrome de </w:t>
      </w:r>
      <w:r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val="es-ES_tradnl"/>
        </w:rPr>
        <w:t>dress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. A propósito de tres casos clínicos y revisión de la literatura.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Rev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Med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Int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.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[acceso: 10/05/2019]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37(2):68-73.  Disponible en: http://www.scielo.edu.uy/scielo.php?script=sci_arttext&amp;pid=S1688423X2015000200004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Ramos L. Síndrome Dress. Presentación de un caso y actualización. Rev. Argent.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Dermatol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2013[acceso: 10/05/2019]; 94 (3) [aprox. 12 p.]. https://rad-online.org.ar/2013/10/01/sindrome-dress-presentacion-de-un-caso-y-actualizacion.</w:t>
      </w:r>
    </w:p>
    <w:p w:rsidR="001933B2" w:rsidRPr="009139D8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12. Del Olmo Gil E, Galindo-López MP, Maya Gutiérrez A, Maya Granados N, Barragán Martínez JA,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Alexanderson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Rosa A, et al. Síndrome de DRESS. Presentación de 2 casos y </w:t>
      </w:r>
      <w:r w:rsidRPr="009139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revisión de la literatura. </w:t>
      </w:r>
      <w:proofErr w:type="spellStart"/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>Rev</w:t>
      </w:r>
      <w:proofErr w:type="spellEnd"/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>Med</w:t>
      </w:r>
      <w:proofErr w:type="spellEnd"/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>Hosp</w:t>
      </w:r>
      <w:proofErr w:type="spellEnd"/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 </w:t>
      </w:r>
      <w:proofErr w:type="spellStart"/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>Méx</w:t>
      </w:r>
      <w:proofErr w:type="spellEnd"/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>. 2014[acceso: 10/05/2019];</w:t>
      </w:r>
      <w:r w:rsidRPr="009139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77(1)</w:t>
      </w:r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:47-50. Disponible en: </w:t>
      </w:r>
      <w:hyperlink r:id="rId9" w:history="1">
        <w:r w:rsidRPr="009139D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</w:rPr>
          <w:t>https://www.elsevier.es/en-revista-revista-medica-del-hospital-general-325-articulo-sindrome-dress-presentacion-2casos</w:t>
        </w:r>
      </w:hyperlink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>X0185106314927416</w:t>
      </w:r>
    </w:p>
    <w:p w:rsidR="001933B2" w:rsidRPr="009139D8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Chamorro NA, Avalos ME, Mabel VL. Síndrome de DRESS y Necrólisis Epidérmica Tóxica por el uso de lamotrigina: a propósito de dos casos. </w:t>
      </w:r>
      <w:proofErr w:type="spellStart"/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>Rev</w:t>
      </w:r>
      <w:proofErr w:type="spellEnd"/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>Pediatr</w:t>
      </w:r>
      <w:proofErr w:type="spellEnd"/>
      <w:r w:rsidRPr="009139D8">
        <w:rPr>
          <w:rFonts w:ascii="Times New Roman" w:hAnsi="Times New Roman" w:cs="Times New Roman"/>
          <w:color w:val="000000" w:themeColor="text1"/>
          <w:sz w:val="24"/>
          <w:szCs w:val="24"/>
        </w:rPr>
        <w:t>. 2014[acceso: 10/05/2019]; 41(2): 131-138. Disponible en: http://scielo.iics.una.py/scielo.php?script=sci_abstract&amp;pid=S168398032014000200006&amp;lng=en&amp;nrm=iso&amp;tlng=es</w:t>
      </w: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933B2" w:rsidRDefault="001933B2" w:rsidP="00193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3B2" w:rsidRDefault="001933B2" w:rsidP="0019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184" w:rsidRDefault="008C6184"/>
    <w:sectPr w:rsidR="008C6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319F"/>
    <w:multiLevelType w:val="hybridMultilevel"/>
    <w:tmpl w:val="D5720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4E28"/>
    <w:multiLevelType w:val="hybridMultilevel"/>
    <w:tmpl w:val="5A087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F"/>
    <w:rsid w:val="001933B2"/>
    <w:rsid w:val="008765C0"/>
    <w:rsid w:val="008C6184"/>
    <w:rsid w:val="009139D8"/>
    <w:rsid w:val="00A14935"/>
    <w:rsid w:val="00C2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6E9C-B5D9-4E60-B16B-CC5876AD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B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33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finlay32@infomed.sld.c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cid.org/0000-0002-5602-01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sevier.es/en-revista-revista-medica-del-hospital-general-325-articulo-sindrome-dress-presentacion-2ca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2550</Words>
  <Characters>14027</Characters>
  <Application>Microsoft Office Word</Application>
  <DocSecurity>0</DocSecurity>
  <Lines>116</Lines>
  <Paragraphs>33</Paragraphs>
  <ScaleCrop>false</ScaleCrop>
  <Company/>
  <LinksUpToDate>false</LinksUpToDate>
  <CharactersWithSpaces>16544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5</cp:revision>
  <dcterms:created xsi:type="dcterms:W3CDTF">2020-02-03T23:28:00Z</dcterms:created>
  <dcterms:modified xsi:type="dcterms:W3CDTF">2021-03-04T20:10:00Z</dcterms:modified>
</cp:coreProperties>
</file>