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88" w:rsidRPr="00000BA2" w:rsidRDefault="001736F6" w:rsidP="00000BA2">
      <w:pPr>
        <w:spacing w:after="0"/>
        <w:jc w:val="center"/>
        <w:rPr>
          <w:rFonts w:cstheme="minorHAnsi"/>
          <w:b/>
          <w:sz w:val="24"/>
          <w:szCs w:val="24"/>
          <w:lang w:val="es-CU"/>
        </w:rPr>
      </w:pPr>
      <w:r w:rsidRPr="00000BA2">
        <w:rPr>
          <w:rFonts w:cstheme="minorHAnsi"/>
          <w:b/>
          <w:sz w:val="24"/>
          <w:szCs w:val="24"/>
          <w:lang w:val="es-CU"/>
        </w:rPr>
        <w:t xml:space="preserve">GUÍA TEMA </w:t>
      </w:r>
      <w:r w:rsidR="007D6B88" w:rsidRPr="00000BA2">
        <w:rPr>
          <w:rFonts w:cstheme="minorHAnsi"/>
          <w:b/>
          <w:sz w:val="24"/>
          <w:szCs w:val="24"/>
          <w:lang w:val="es-CU"/>
        </w:rPr>
        <w:t>5</w:t>
      </w:r>
      <w:r w:rsidRPr="00000BA2">
        <w:rPr>
          <w:rFonts w:cstheme="minorHAnsi"/>
          <w:b/>
          <w:sz w:val="24"/>
          <w:szCs w:val="24"/>
          <w:lang w:val="es-CU"/>
        </w:rPr>
        <w:t xml:space="preserve"> </w:t>
      </w:r>
    </w:p>
    <w:p w:rsidR="007D6B88" w:rsidRPr="00000BA2" w:rsidRDefault="007D6B88" w:rsidP="00000BA2">
      <w:pPr>
        <w:spacing w:after="0"/>
        <w:jc w:val="both"/>
        <w:rPr>
          <w:rFonts w:cstheme="minorHAnsi"/>
          <w:b/>
          <w:sz w:val="24"/>
          <w:szCs w:val="24"/>
          <w:lang w:val="es-CU"/>
        </w:rPr>
      </w:pPr>
      <w:r w:rsidRPr="00000BA2">
        <w:rPr>
          <w:rFonts w:cstheme="minorHAnsi"/>
          <w:b/>
          <w:sz w:val="24"/>
          <w:szCs w:val="24"/>
          <w:lang w:val="es-CU"/>
        </w:rPr>
        <w:t>TEMA 5. NOCIONES GENERALES SOBRE EL ENFOQUE FARMACOLÓGICO DE LA NEUROTRANSMISIÓN EN EL SISTEMA NERVIOSO.</w:t>
      </w:r>
    </w:p>
    <w:p w:rsidR="007D6B88" w:rsidRPr="00000BA2" w:rsidRDefault="007D6B88" w:rsidP="00000BA2">
      <w:pPr>
        <w:spacing w:after="0"/>
        <w:jc w:val="both"/>
        <w:rPr>
          <w:rFonts w:cstheme="minorHAnsi"/>
          <w:b/>
          <w:sz w:val="24"/>
          <w:szCs w:val="24"/>
          <w:u w:val="single"/>
          <w:lang w:val="es-CU"/>
        </w:rPr>
      </w:pPr>
      <w:r w:rsidRPr="00000BA2">
        <w:rPr>
          <w:rFonts w:cstheme="minorHAnsi"/>
          <w:b/>
          <w:sz w:val="24"/>
          <w:szCs w:val="24"/>
          <w:u w:val="single"/>
          <w:lang w:val="es-CU"/>
        </w:rPr>
        <w:t>OBJETIVOS</w:t>
      </w:r>
    </w:p>
    <w:p w:rsidR="007D6B88" w:rsidRPr="00000BA2" w:rsidRDefault="007D6B88" w:rsidP="00000BA2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lang w:val="es-CU"/>
        </w:rPr>
      </w:pPr>
      <w:r w:rsidRPr="00000BA2">
        <w:rPr>
          <w:rFonts w:cstheme="minorHAnsi"/>
          <w:sz w:val="24"/>
          <w:szCs w:val="24"/>
          <w:lang w:val="es-CU"/>
        </w:rPr>
        <w:t xml:space="preserve">Relacionar los conocimientos fundamentales de la neurotransmisión en el Sistema Nervioso con las bases farmacológicas para el tratamiento medicamentoso racional de las enfermedades más frecuentes en la comunidad atendiendo a las características individuales de los pacientes. </w:t>
      </w:r>
    </w:p>
    <w:p w:rsidR="007D6B88" w:rsidRPr="00000BA2" w:rsidRDefault="007D6B88" w:rsidP="00000BA2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lang w:val="es-CU"/>
        </w:rPr>
      </w:pPr>
      <w:r w:rsidRPr="00000BA2">
        <w:rPr>
          <w:rFonts w:cstheme="minorHAnsi"/>
          <w:sz w:val="24"/>
          <w:szCs w:val="24"/>
          <w:lang w:val="es-CU"/>
        </w:rPr>
        <w:t>Aplicar los conocimientos adquiridos con el estudio del tema como apoyo en la solución de nuevos problemas terapéuticos que puedan surgir en la atención primaria.</w:t>
      </w:r>
    </w:p>
    <w:p w:rsidR="007D6B88" w:rsidRPr="00000BA2" w:rsidRDefault="007D6B88" w:rsidP="00000BA2">
      <w:pPr>
        <w:spacing w:after="0"/>
        <w:jc w:val="both"/>
        <w:rPr>
          <w:rFonts w:cstheme="minorHAnsi"/>
          <w:b/>
          <w:sz w:val="24"/>
          <w:szCs w:val="24"/>
          <w:u w:val="single"/>
          <w:lang w:val="es-CU"/>
        </w:rPr>
      </w:pPr>
      <w:r w:rsidRPr="00000BA2">
        <w:rPr>
          <w:rFonts w:cstheme="minorHAnsi"/>
          <w:b/>
          <w:sz w:val="24"/>
          <w:szCs w:val="24"/>
          <w:u w:val="single"/>
          <w:lang w:val="es-CU"/>
        </w:rPr>
        <w:t>CONTENIDO</w:t>
      </w:r>
    </w:p>
    <w:p w:rsidR="007D6B88" w:rsidRPr="00000BA2" w:rsidRDefault="007D6B88" w:rsidP="00000BA2">
      <w:pPr>
        <w:spacing w:after="0"/>
        <w:jc w:val="both"/>
        <w:rPr>
          <w:rFonts w:cstheme="minorHAnsi"/>
          <w:sz w:val="24"/>
          <w:szCs w:val="24"/>
          <w:lang w:val="es-CU"/>
        </w:rPr>
      </w:pPr>
      <w:r w:rsidRPr="00000BA2">
        <w:rPr>
          <w:rFonts w:cstheme="minorHAnsi"/>
          <w:sz w:val="24"/>
          <w:szCs w:val="24"/>
          <w:lang w:val="es-CU"/>
        </w:rPr>
        <w:t xml:space="preserve">Principales neurotransmisores: adrenalina, noradrenalina, </w:t>
      </w:r>
      <w:r w:rsidR="004B2BB3" w:rsidRPr="00000BA2">
        <w:rPr>
          <w:rFonts w:cstheme="minorHAnsi"/>
          <w:sz w:val="24"/>
          <w:szCs w:val="24"/>
          <w:lang w:val="es-CU"/>
        </w:rPr>
        <w:t>acetil colina,</w:t>
      </w:r>
      <w:r w:rsidRPr="00000BA2">
        <w:rPr>
          <w:rFonts w:cstheme="minorHAnsi"/>
          <w:sz w:val="24"/>
          <w:szCs w:val="24"/>
          <w:lang w:val="es-CU"/>
        </w:rPr>
        <w:t xml:space="preserve"> histamina, </w:t>
      </w:r>
      <w:r w:rsidR="004B2BB3" w:rsidRPr="00000BA2">
        <w:rPr>
          <w:rFonts w:cstheme="minorHAnsi"/>
          <w:sz w:val="24"/>
          <w:szCs w:val="24"/>
          <w:lang w:val="es-CU"/>
        </w:rPr>
        <w:t xml:space="preserve">serotonina, </w:t>
      </w:r>
      <w:r w:rsidRPr="00000BA2">
        <w:rPr>
          <w:rFonts w:cstheme="minorHAnsi"/>
          <w:sz w:val="24"/>
          <w:szCs w:val="24"/>
          <w:lang w:val="es-CU"/>
        </w:rPr>
        <w:t>ácido gamma amino butírico (GABA)</w:t>
      </w:r>
      <w:r w:rsidR="004B2BB3" w:rsidRPr="00000BA2">
        <w:rPr>
          <w:rFonts w:cstheme="minorHAnsi"/>
          <w:sz w:val="24"/>
          <w:szCs w:val="24"/>
          <w:lang w:val="es-CU"/>
        </w:rPr>
        <w:t xml:space="preserve">, glutamato y </w:t>
      </w:r>
      <w:r w:rsidRPr="00000BA2">
        <w:rPr>
          <w:rFonts w:cstheme="minorHAnsi"/>
          <w:sz w:val="24"/>
          <w:szCs w:val="24"/>
          <w:lang w:val="es-CU"/>
        </w:rPr>
        <w:t xml:space="preserve">endorfinas. Características de la neurotransmisión </w:t>
      </w:r>
      <w:r w:rsidR="004B2BB3" w:rsidRPr="00000BA2">
        <w:rPr>
          <w:rFonts w:cstheme="minorHAnsi"/>
          <w:sz w:val="24"/>
          <w:szCs w:val="24"/>
          <w:lang w:val="es-CU"/>
        </w:rPr>
        <w:t xml:space="preserve">autonómica </w:t>
      </w:r>
      <w:r w:rsidRPr="00000BA2">
        <w:rPr>
          <w:rFonts w:cstheme="minorHAnsi"/>
          <w:sz w:val="24"/>
          <w:szCs w:val="24"/>
          <w:lang w:val="es-CU"/>
        </w:rPr>
        <w:t>adrenérgica y colinérgica.</w:t>
      </w:r>
    </w:p>
    <w:p w:rsidR="007D6B88" w:rsidRPr="00000BA2" w:rsidRDefault="007D6B88" w:rsidP="00000BA2">
      <w:pPr>
        <w:spacing w:after="0"/>
        <w:jc w:val="both"/>
        <w:rPr>
          <w:rFonts w:cstheme="minorHAnsi"/>
          <w:sz w:val="24"/>
          <w:szCs w:val="24"/>
          <w:lang w:val="es-CU"/>
        </w:rPr>
      </w:pPr>
      <w:r w:rsidRPr="00000BA2">
        <w:rPr>
          <w:rFonts w:cstheme="minorHAnsi"/>
          <w:sz w:val="24"/>
          <w:szCs w:val="24"/>
          <w:lang w:val="es-CU"/>
        </w:rPr>
        <w:t>Importancia clínica de la neurotransmisión en el sistema nervioso.</w:t>
      </w:r>
      <w:r w:rsidR="004B2BB3" w:rsidRPr="00000BA2">
        <w:rPr>
          <w:rFonts w:cstheme="minorHAnsi"/>
          <w:sz w:val="24"/>
          <w:szCs w:val="24"/>
          <w:lang w:val="es-CU"/>
        </w:rPr>
        <w:t xml:space="preserve"> Fármacos que modifican los pasos de la neurotransmisión.</w:t>
      </w:r>
    </w:p>
    <w:p w:rsidR="007D6B88" w:rsidRPr="00000BA2" w:rsidRDefault="007D6B88" w:rsidP="00000BA2">
      <w:pPr>
        <w:spacing w:after="0"/>
        <w:jc w:val="both"/>
        <w:rPr>
          <w:rFonts w:cstheme="minorHAnsi"/>
          <w:b/>
          <w:sz w:val="24"/>
          <w:szCs w:val="24"/>
          <w:u w:val="single"/>
          <w:lang w:val="es-CU"/>
        </w:rPr>
      </w:pPr>
      <w:r w:rsidRPr="00000BA2">
        <w:rPr>
          <w:rFonts w:cstheme="minorHAnsi"/>
          <w:b/>
          <w:sz w:val="24"/>
          <w:szCs w:val="24"/>
          <w:u w:val="single"/>
          <w:lang w:val="es-CU"/>
        </w:rPr>
        <w:t>INTRODUCCIÓN</w:t>
      </w:r>
    </w:p>
    <w:p w:rsidR="00AB7980" w:rsidRPr="00000BA2" w:rsidRDefault="00AB7980" w:rsidP="00000BA2">
      <w:pPr>
        <w:spacing w:after="0"/>
        <w:jc w:val="both"/>
        <w:rPr>
          <w:rFonts w:cstheme="minorHAnsi"/>
          <w:sz w:val="24"/>
          <w:szCs w:val="24"/>
          <w:lang w:val="es-CU"/>
        </w:rPr>
      </w:pPr>
      <w:r w:rsidRPr="00000BA2">
        <w:rPr>
          <w:rFonts w:cstheme="minorHAnsi"/>
          <w:sz w:val="24"/>
          <w:szCs w:val="24"/>
          <w:lang w:val="es-CU"/>
        </w:rPr>
        <w:t>Un neurotransmisor es una sustancia producida por una célula nerviosa capaz de alterar el funcionamiento de otra célula de manera breve o durable, por medio de la ocupación de receptores específicos y por la activación de mecanismos iónicos y/o metabólicos.</w:t>
      </w:r>
      <w:r w:rsidR="007F5E2D" w:rsidRPr="00000BA2">
        <w:rPr>
          <w:rFonts w:cstheme="minorHAnsi"/>
          <w:sz w:val="24"/>
          <w:szCs w:val="24"/>
          <w:lang w:val="es-CU"/>
        </w:rPr>
        <w:t xml:space="preserve"> </w:t>
      </w:r>
      <w:r w:rsidR="00BC1514" w:rsidRPr="00000BA2">
        <w:rPr>
          <w:rFonts w:cstheme="minorHAnsi"/>
          <w:sz w:val="24"/>
          <w:szCs w:val="24"/>
          <w:lang w:val="es-CU"/>
        </w:rPr>
        <w:t xml:space="preserve">Los neurotransmisores actúan sobre gran variedad de receptores y de esta forma proveen numerosos blancos para la acción de los fármacos, tanto en el Sistema Nervioso Central (SNC), como en el sistema nervioso periférico (SNP). </w:t>
      </w:r>
      <w:r w:rsidR="007F5E2D" w:rsidRPr="00000BA2">
        <w:rPr>
          <w:rFonts w:cstheme="minorHAnsi"/>
          <w:sz w:val="24"/>
          <w:szCs w:val="24"/>
          <w:lang w:val="es-CU"/>
        </w:rPr>
        <w:t>El fallo de la transmisión nerviosa será responsable no solo de enfermedades de tipo físico, sino también de trastornos cognitivos.</w:t>
      </w:r>
    </w:p>
    <w:p w:rsidR="00AB7980" w:rsidRPr="00000BA2" w:rsidRDefault="00AB7980" w:rsidP="00000BA2">
      <w:pPr>
        <w:spacing w:after="0"/>
        <w:jc w:val="both"/>
        <w:rPr>
          <w:rFonts w:cstheme="minorHAnsi"/>
          <w:sz w:val="24"/>
          <w:szCs w:val="24"/>
          <w:lang w:val="es-CU"/>
        </w:rPr>
      </w:pPr>
      <w:r w:rsidRPr="00000BA2">
        <w:rPr>
          <w:rFonts w:cstheme="minorHAnsi"/>
          <w:sz w:val="24"/>
          <w:szCs w:val="24"/>
          <w:lang w:val="es-CU"/>
        </w:rPr>
        <w:t xml:space="preserve">Para que tenga lugar la señalización entre células mediada por neurotransmisores son necesarios varios </w:t>
      </w:r>
      <w:r w:rsidR="007F5E2D" w:rsidRPr="00000BA2">
        <w:rPr>
          <w:rFonts w:cstheme="minorHAnsi"/>
          <w:sz w:val="24"/>
          <w:szCs w:val="24"/>
          <w:lang w:val="es-CU"/>
        </w:rPr>
        <w:t>pasos</w:t>
      </w:r>
      <w:r w:rsidR="00BC1514" w:rsidRPr="00000BA2">
        <w:rPr>
          <w:rFonts w:cstheme="minorHAnsi"/>
          <w:sz w:val="24"/>
          <w:szCs w:val="24"/>
          <w:lang w:val="es-CU"/>
        </w:rPr>
        <w:t>, cada uno de los cuales</w:t>
      </w:r>
      <w:r w:rsidRPr="00000BA2">
        <w:rPr>
          <w:rFonts w:cstheme="minorHAnsi"/>
          <w:sz w:val="24"/>
          <w:szCs w:val="24"/>
          <w:lang w:val="es-CU"/>
        </w:rPr>
        <w:t xml:space="preserve"> es susceptible de ser modificado por diversos fármacos, cuya utilización en diversas enfermedades ofrece beneficios terapéuticos tangibles.</w:t>
      </w:r>
    </w:p>
    <w:p w:rsidR="004B2BB3" w:rsidRPr="00000BA2" w:rsidRDefault="004B2BB3" w:rsidP="00000BA2">
      <w:pPr>
        <w:spacing w:after="0"/>
        <w:jc w:val="both"/>
        <w:rPr>
          <w:rFonts w:cstheme="minorHAnsi"/>
          <w:sz w:val="24"/>
          <w:szCs w:val="24"/>
          <w:lang w:val="es-CU"/>
        </w:rPr>
      </w:pPr>
      <w:r w:rsidRPr="00000BA2">
        <w:rPr>
          <w:rFonts w:cstheme="minorHAnsi"/>
          <w:sz w:val="24"/>
          <w:szCs w:val="24"/>
          <w:lang w:val="es-CU"/>
        </w:rPr>
        <w:t xml:space="preserve">Una vez visualizada la conferencia, </w:t>
      </w:r>
      <w:r w:rsidR="00054199">
        <w:rPr>
          <w:rFonts w:cstheme="minorHAnsi"/>
          <w:sz w:val="24"/>
          <w:szCs w:val="24"/>
          <w:lang w:val="es-CU"/>
        </w:rPr>
        <w:t xml:space="preserve">los estudiantes </w:t>
      </w:r>
      <w:r w:rsidRPr="00000BA2">
        <w:rPr>
          <w:rFonts w:cstheme="minorHAnsi"/>
          <w:sz w:val="24"/>
          <w:szCs w:val="24"/>
          <w:lang w:val="es-CU"/>
        </w:rPr>
        <w:t xml:space="preserve">deben acudir al libro de texto y al resto de la bibliografía disponible para profundizar en los aspectos generales y específicos de los diferentes neurotransmisores. </w:t>
      </w:r>
    </w:p>
    <w:p w:rsidR="004B2BB3" w:rsidRPr="00000BA2" w:rsidRDefault="004B2BB3" w:rsidP="00000BA2">
      <w:pPr>
        <w:spacing w:after="0"/>
        <w:jc w:val="both"/>
        <w:rPr>
          <w:rFonts w:cstheme="minorHAnsi"/>
          <w:sz w:val="24"/>
          <w:szCs w:val="24"/>
          <w:lang w:val="es-CU"/>
        </w:rPr>
      </w:pPr>
      <w:r w:rsidRPr="00000BA2">
        <w:rPr>
          <w:rFonts w:cstheme="minorHAnsi"/>
          <w:sz w:val="24"/>
          <w:szCs w:val="24"/>
          <w:lang w:val="es-CU"/>
        </w:rPr>
        <w:t>Esta guía tiene como objetivo dar algunas recomendaciones para facilitar el estudio y comprensión de las principales características de los neurotransmisores, con este fin se ofrecen diferentes orientaciones.</w:t>
      </w:r>
    </w:p>
    <w:p w:rsidR="007D6B88" w:rsidRPr="00000BA2" w:rsidRDefault="007D6B88" w:rsidP="00000BA2">
      <w:pPr>
        <w:spacing w:after="0"/>
        <w:jc w:val="both"/>
        <w:rPr>
          <w:rFonts w:cstheme="minorHAnsi"/>
          <w:b/>
          <w:sz w:val="24"/>
          <w:szCs w:val="24"/>
          <w:u w:val="single"/>
          <w:lang w:val="es-CU"/>
        </w:rPr>
      </w:pPr>
      <w:r w:rsidRPr="00000BA2">
        <w:rPr>
          <w:rFonts w:cstheme="minorHAnsi"/>
          <w:b/>
          <w:sz w:val="24"/>
          <w:szCs w:val="24"/>
          <w:u w:val="single"/>
          <w:lang w:val="es-CU"/>
        </w:rPr>
        <w:t>ORIENTACIONES PARA EL ESTUDIO</w:t>
      </w:r>
    </w:p>
    <w:p w:rsidR="00682DA0" w:rsidRPr="00000BA2" w:rsidRDefault="00682DA0" w:rsidP="00000BA2">
      <w:pPr>
        <w:spacing w:after="0" w:line="240" w:lineRule="auto"/>
        <w:jc w:val="both"/>
        <w:rPr>
          <w:rFonts w:cstheme="minorHAnsi"/>
          <w:sz w:val="24"/>
          <w:szCs w:val="24"/>
          <w:lang w:val="es-CU"/>
        </w:rPr>
      </w:pPr>
      <w:r w:rsidRPr="00000BA2">
        <w:rPr>
          <w:rFonts w:cstheme="minorHAnsi"/>
          <w:sz w:val="24"/>
          <w:szCs w:val="24"/>
          <w:lang w:val="es-CU"/>
        </w:rPr>
        <w:t xml:space="preserve">I) Durante el estudio independiente, el estudiante debe rememorar la anatomía y fisiología del sistema nervioso, impartidas en asignaturas precedentes, a fin de comprender </w:t>
      </w:r>
      <w:r w:rsidR="00EF610E" w:rsidRPr="00000BA2">
        <w:rPr>
          <w:rFonts w:cstheme="minorHAnsi"/>
          <w:sz w:val="24"/>
          <w:szCs w:val="24"/>
          <w:lang w:val="es-CU"/>
        </w:rPr>
        <w:t xml:space="preserve">mejor </w:t>
      </w:r>
      <w:r w:rsidRPr="00000BA2">
        <w:rPr>
          <w:rFonts w:cstheme="minorHAnsi"/>
          <w:sz w:val="24"/>
          <w:szCs w:val="24"/>
          <w:lang w:val="es-CU"/>
        </w:rPr>
        <w:t xml:space="preserve">los mecanismos básicos de la neurotransmisión y sus implicaciones en la salud física y mental del ser humano. </w:t>
      </w:r>
    </w:p>
    <w:p w:rsidR="00682DA0" w:rsidRPr="00000BA2" w:rsidRDefault="00E30B8E" w:rsidP="00000BA2">
      <w:pPr>
        <w:spacing w:after="0" w:line="240" w:lineRule="auto"/>
        <w:jc w:val="both"/>
        <w:rPr>
          <w:rFonts w:cstheme="minorHAnsi"/>
          <w:sz w:val="24"/>
          <w:szCs w:val="24"/>
          <w:lang w:val="es-CU"/>
        </w:rPr>
      </w:pPr>
      <w:r w:rsidRPr="00000BA2">
        <w:rPr>
          <w:rFonts w:cstheme="minorHAnsi"/>
          <w:sz w:val="24"/>
          <w:szCs w:val="24"/>
          <w:lang w:val="es-CU"/>
        </w:rPr>
        <w:t>Así</w:t>
      </w:r>
      <w:r w:rsidR="00CD768C" w:rsidRPr="00000BA2">
        <w:rPr>
          <w:rFonts w:cstheme="minorHAnsi"/>
          <w:sz w:val="24"/>
          <w:szCs w:val="24"/>
          <w:lang w:val="es-CU"/>
        </w:rPr>
        <w:t xml:space="preserve"> mismo debe tener en cuenta que los pasos de la neurotransmis</w:t>
      </w:r>
      <w:r w:rsidRPr="00000BA2">
        <w:rPr>
          <w:rFonts w:cstheme="minorHAnsi"/>
          <w:sz w:val="24"/>
          <w:szCs w:val="24"/>
          <w:lang w:val="es-CU"/>
        </w:rPr>
        <w:t>ión</w:t>
      </w:r>
      <w:r w:rsidR="00CD768C" w:rsidRPr="00000BA2">
        <w:rPr>
          <w:rFonts w:cstheme="minorHAnsi"/>
          <w:sz w:val="24"/>
          <w:szCs w:val="24"/>
          <w:lang w:val="es-CU"/>
        </w:rPr>
        <w:t xml:space="preserve"> son básicamente iguales </w:t>
      </w:r>
      <w:r w:rsidRPr="00000BA2">
        <w:rPr>
          <w:rFonts w:cstheme="minorHAnsi"/>
          <w:sz w:val="24"/>
          <w:szCs w:val="24"/>
          <w:lang w:val="es-CU"/>
        </w:rPr>
        <w:t>para todos los neurotransmisores</w:t>
      </w:r>
      <w:r w:rsidR="00CD768C" w:rsidRPr="00000BA2">
        <w:rPr>
          <w:rFonts w:cstheme="minorHAnsi"/>
          <w:sz w:val="24"/>
          <w:szCs w:val="24"/>
          <w:lang w:val="es-CU"/>
        </w:rPr>
        <w:t xml:space="preserve">, solo cambian los </w:t>
      </w:r>
      <w:r w:rsidRPr="00000BA2">
        <w:rPr>
          <w:rFonts w:cstheme="minorHAnsi"/>
          <w:sz w:val="24"/>
          <w:szCs w:val="24"/>
          <w:lang w:val="es-CU"/>
        </w:rPr>
        <w:t>precursores</w:t>
      </w:r>
      <w:r w:rsidR="00CD768C" w:rsidRPr="00000BA2">
        <w:rPr>
          <w:rFonts w:cstheme="minorHAnsi"/>
          <w:sz w:val="24"/>
          <w:szCs w:val="24"/>
          <w:lang w:val="es-CU"/>
        </w:rPr>
        <w:t>, las enzimas implicadas</w:t>
      </w:r>
      <w:r w:rsidRPr="00000BA2">
        <w:rPr>
          <w:rFonts w:cstheme="minorHAnsi"/>
          <w:sz w:val="24"/>
          <w:szCs w:val="24"/>
          <w:lang w:val="es-CU"/>
        </w:rPr>
        <w:t xml:space="preserve">, los transportadores y algunos mecanismos de eliminación que pueden ser específicos. </w:t>
      </w:r>
    </w:p>
    <w:p w:rsidR="00E30B8E" w:rsidRPr="00000BA2" w:rsidRDefault="00E30B8E" w:rsidP="00000BA2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es-CU"/>
        </w:rPr>
      </w:pPr>
      <w:r w:rsidRPr="00000BA2">
        <w:rPr>
          <w:rFonts w:cstheme="minorHAnsi"/>
          <w:b/>
          <w:sz w:val="24"/>
          <w:szCs w:val="24"/>
          <w:u w:val="single"/>
          <w:lang w:val="es-CU"/>
        </w:rPr>
        <w:t>EJEMPLO:</w:t>
      </w:r>
      <w:r w:rsidR="00ED4BA9">
        <w:rPr>
          <w:rFonts w:cstheme="minorHAnsi"/>
          <w:b/>
          <w:sz w:val="24"/>
          <w:szCs w:val="24"/>
          <w:u w:val="single"/>
          <w:lang w:val="es-CU"/>
        </w:rPr>
        <w:t xml:space="preserve"> </w:t>
      </w:r>
    </w:p>
    <w:tbl>
      <w:tblPr>
        <w:tblStyle w:val="Tablaconcuadrcula"/>
        <w:tblW w:w="8359" w:type="dxa"/>
        <w:jc w:val="center"/>
        <w:tblLook w:val="04A0" w:firstRow="1" w:lastRow="0" w:firstColumn="1" w:lastColumn="0" w:noHBand="0" w:noVBand="1"/>
      </w:tblPr>
      <w:tblGrid>
        <w:gridCol w:w="1914"/>
        <w:gridCol w:w="1220"/>
        <w:gridCol w:w="1382"/>
        <w:gridCol w:w="3843"/>
      </w:tblGrid>
      <w:tr w:rsidR="00E30B8E" w:rsidRPr="00000BA2" w:rsidTr="00B171CF">
        <w:trPr>
          <w:jc w:val="center"/>
        </w:trPr>
        <w:tc>
          <w:tcPr>
            <w:tcW w:w="1631" w:type="dxa"/>
            <w:shd w:val="clear" w:color="auto" w:fill="auto"/>
          </w:tcPr>
          <w:p w:rsidR="00E30B8E" w:rsidRPr="00000BA2" w:rsidRDefault="00E30B8E" w:rsidP="00000BA2">
            <w:pPr>
              <w:jc w:val="both"/>
              <w:rPr>
                <w:rFonts w:cstheme="minorHAnsi"/>
                <w:b/>
                <w:sz w:val="24"/>
                <w:szCs w:val="24"/>
                <w:lang w:val="es-CU"/>
              </w:rPr>
            </w:pPr>
            <w:r w:rsidRPr="00000BA2">
              <w:rPr>
                <w:rFonts w:cstheme="minorHAnsi"/>
                <w:b/>
                <w:sz w:val="24"/>
                <w:szCs w:val="24"/>
                <w:lang w:val="es-CU"/>
              </w:rPr>
              <w:lastRenderedPageBreak/>
              <w:t>Neurotransmisor</w:t>
            </w:r>
          </w:p>
        </w:tc>
        <w:tc>
          <w:tcPr>
            <w:tcW w:w="1148" w:type="dxa"/>
            <w:shd w:val="clear" w:color="auto" w:fill="auto"/>
          </w:tcPr>
          <w:p w:rsidR="00E30B8E" w:rsidRPr="00000BA2" w:rsidRDefault="00E30B8E" w:rsidP="00000BA2">
            <w:pPr>
              <w:jc w:val="both"/>
              <w:rPr>
                <w:rFonts w:cstheme="minorHAnsi"/>
                <w:b/>
                <w:sz w:val="24"/>
                <w:szCs w:val="24"/>
                <w:lang w:val="es-CU"/>
              </w:rPr>
            </w:pPr>
            <w:r w:rsidRPr="00000BA2">
              <w:rPr>
                <w:rFonts w:cstheme="minorHAnsi"/>
                <w:b/>
                <w:sz w:val="24"/>
                <w:szCs w:val="24"/>
                <w:lang w:val="es-CU"/>
              </w:rPr>
              <w:t>Precursor</w:t>
            </w:r>
          </w:p>
        </w:tc>
        <w:tc>
          <w:tcPr>
            <w:tcW w:w="1396" w:type="dxa"/>
            <w:shd w:val="clear" w:color="auto" w:fill="auto"/>
          </w:tcPr>
          <w:p w:rsidR="00E30B8E" w:rsidRPr="00000BA2" w:rsidRDefault="00E30B8E" w:rsidP="00000BA2">
            <w:pPr>
              <w:jc w:val="both"/>
              <w:rPr>
                <w:rFonts w:cstheme="minorHAnsi"/>
                <w:b/>
                <w:sz w:val="24"/>
                <w:szCs w:val="24"/>
                <w:lang w:val="es-CU"/>
              </w:rPr>
            </w:pPr>
            <w:r w:rsidRPr="00000BA2">
              <w:rPr>
                <w:rFonts w:cstheme="minorHAnsi"/>
                <w:b/>
                <w:sz w:val="24"/>
                <w:szCs w:val="24"/>
                <w:lang w:val="es-CU"/>
              </w:rPr>
              <w:t>Enzimas que participan en la síntesis</w:t>
            </w:r>
          </w:p>
        </w:tc>
        <w:tc>
          <w:tcPr>
            <w:tcW w:w="4184" w:type="dxa"/>
            <w:shd w:val="clear" w:color="auto" w:fill="auto"/>
          </w:tcPr>
          <w:p w:rsidR="00E30B8E" w:rsidRPr="00000BA2" w:rsidRDefault="00E30B8E" w:rsidP="00000BA2">
            <w:pPr>
              <w:jc w:val="both"/>
              <w:rPr>
                <w:rFonts w:cstheme="minorHAnsi"/>
                <w:b/>
                <w:sz w:val="24"/>
                <w:szCs w:val="24"/>
                <w:lang w:val="es-CU"/>
              </w:rPr>
            </w:pPr>
            <w:r w:rsidRPr="00000BA2">
              <w:rPr>
                <w:rFonts w:cstheme="minorHAnsi"/>
                <w:b/>
                <w:sz w:val="24"/>
                <w:szCs w:val="24"/>
                <w:lang w:val="es-CU"/>
              </w:rPr>
              <w:t>Inactivación</w:t>
            </w:r>
          </w:p>
        </w:tc>
      </w:tr>
      <w:tr w:rsidR="00E30B8E" w:rsidRPr="00ED4BA9" w:rsidTr="00B171CF">
        <w:trPr>
          <w:jc w:val="center"/>
        </w:trPr>
        <w:tc>
          <w:tcPr>
            <w:tcW w:w="1631" w:type="dxa"/>
          </w:tcPr>
          <w:p w:rsidR="00E30B8E" w:rsidRPr="00000BA2" w:rsidRDefault="00E30B8E" w:rsidP="00000BA2">
            <w:pPr>
              <w:jc w:val="both"/>
              <w:rPr>
                <w:rFonts w:cstheme="minorHAnsi"/>
                <w:sz w:val="24"/>
                <w:szCs w:val="24"/>
                <w:lang w:val="es-CU"/>
              </w:rPr>
            </w:pPr>
            <w:r w:rsidRPr="00000BA2">
              <w:rPr>
                <w:rFonts w:cstheme="minorHAnsi"/>
                <w:sz w:val="24"/>
                <w:szCs w:val="24"/>
                <w:lang w:val="es-CU"/>
              </w:rPr>
              <w:t>Acetilcolina</w:t>
            </w:r>
          </w:p>
        </w:tc>
        <w:tc>
          <w:tcPr>
            <w:tcW w:w="1148" w:type="dxa"/>
          </w:tcPr>
          <w:p w:rsidR="00E30B8E" w:rsidRPr="00000BA2" w:rsidRDefault="00E30B8E" w:rsidP="00000BA2">
            <w:pPr>
              <w:jc w:val="both"/>
              <w:rPr>
                <w:rFonts w:cstheme="minorHAnsi"/>
                <w:sz w:val="24"/>
                <w:szCs w:val="24"/>
                <w:lang w:val="es-CU"/>
              </w:rPr>
            </w:pPr>
            <w:r w:rsidRPr="00000BA2">
              <w:rPr>
                <w:rFonts w:cstheme="minorHAnsi"/>
                <w:sz w:val="24"/>
                <w:szCs w:val="24"/>
                <w:lang w:val="es-CU"/>
              </w:rPr>
              <w:t xml:space="preserve">Colina y acetil </w:t>
            </w:r>
            <w:proofErr w:type="spellStart"/>
            <w:r w:rsidRPr="00000BA2">
              <w:rPr>
                <w:rFonts w:cstheme="minorHAnsi"/>
                <w:sz w:val="24"/>
                <w:szCs w:val="24"/>
                <w:lang w:val="es-CU"/>
              </w:rPr>
              <w:t>CoA</w:t>
            </w:r>
            <w:proofErr w:type="spellEnd"/>
          </w:p>
        </w:tc>
        <w:tc>
          <w:tcPr>
            <w:tcW w:w="1396" w:type="dxa"/>
          </w:tcPr>
          <w:p w:rsidR="00E30B8E" w:rsidRPr="00000BA2" w:rsidRDefault="00E30B8E" w:rsidP="00000BA2">
            <w:pPr>
              <w:jc w:val="both"/>
              <w:rPr>
                <w:rFonts w:cstheme="minorHAnsi"/>
                <w:sz w:val="24"/>
                <w:szCs w:val="24"/>
                <w:lang w:val="es-CU"/>
              </w:rPr>
            </w:pPr>
            <w:r w:rsidRPr="00000BA2">
              <w:rPr>
                <w:rFonts w:cstheme="minorHAnsi"/>
                <w:sz w:val="24"/>
                <w:szCs w:val="24"/>
                <w:lang w:val="es-CU"/>
              </w:rPr>
              <w:t>Colina acetil transferasa</w:t>
            </w:r>
          </w:p>
        </w:tc>
        <w:tc>
          <w:tcPr>
            <w:tcW w:w="4184" w:type="dxa"/>
          </w:tcPr>
          <w:p w:rsidR="00E30B8E" w:rsidRPr="00000BA2" w:rsidRDefault="00E30B8E" w:rsidP="00000BA2">
            <w:pPr>
              <w:jc w:val="both"/>
              <w:rPr>
                <w:rFonts w:cstheme="minorHAnsi"/>
                <w:sz w:val="24"/>
                <w:szCs w:val="24"/>
                <w:lang w:val="es-CU"/>
              </w:rPr>
            </w:pPr>
            <w:r w:rsidRPr="00000BA2">
              <w:rPr>
                <w:rFonts w:cstheme="minorHAnsi"/>
                <w:sz w:val="24"/>
                <w:szCs w:val="24"/>
                <w:lang w:val="es-CU"/>
              </w:rPr>
              <w:t xml:space="preserve">Enzimática: Acetilcolinesterasa y </w:t>
            </w:r>
            <w:proofErr w:type="spellStart"/>
            <w:r w:rsidRPr="00000BA2">
              <w:rPr>
                <w:rFonts w:cstheme="minorHAnsi"/>
                <w:sz w:val="24"/>
                <w:szCs w:val="24"/>
                <w:lang w:val="es-CU"/>
              </w:rPr>
              <w:t>butirilcolinesterasa</w:t>
            </w:r>
            <w:proofErr w:type="spellEnd"/>
            <w:r w:rsidRPr="00000BA2">
              <w:rPr>
                <w:rFonts w:cstheme="minorHAnsi"/>
                <w:sz w:val="24"/>
                <w:szCs w:val="24"/>
                <w:lang w:val="es-CU"/>
              </w:rPr>
              <w:t xml:space="preserve"> (</w:t>
            </w:r>
            <w:proofErr w:type="spellStart"/>
            <w:r w:rsidRPr="00000BA2">
              <w:rPr>
                <w:rFonts w:cstheme="minorHAnsi"/>
                <w:sz w:val="24"/>
                <w:szCs w:val="24"/>
                <w:lang w:val="es-CU"/>
              </w:rPr>
              <w:t>seudocolinesterasa</w:t>
            </w:r>
            <w:proofErr w:type="spellEnd"/>
            <w:r w:rsidRPr="00000BA2">
              <w:rPr>
                <w:rFonts w:cstheme="minorHAnsi"/>
                <w:sz w:val="24"/>
                <w:szCs w:val="24"/>
                <w:lang w:val="es-CU"/>
              </w:rPr>
              <w:t>)</w:t>
            </w:r>
          </w:p>
        </w:tc>
      </w:tr>
      <w:tr w:rsidR="00E30B8E" w:rsidRPr="00ED4BA9" w:rsidTr="00B171CF">
        <w:trPr>
          <w:jc w:val="center"/>
        </w:trPr>
        <w:tc>
          <w:tcPr>
            <w:tcW w:w="1631" w:type="dxa"/>
          </w:tcPr>
          <w:p w:rsidR="00E30B8E" w:rsidRPr="00000BA2" w:rsidRDefault="00E30B8E" w:rsidP="00000BA2">
            <w:pPr>
              <w:jc w:val="both"/>
              <w:rPr>
                <w:rFonts w:cstheme="minorHAnsi"/>
                <w:sz w:val="24"/>
                <w:szCs w:val="24"/>
                <w:lang w:val="es-CU"/>
              </w:rPr>
            </w:pPr>
            <w:r w:rsidRPr="00000BA2">
              <w:rPr>
                <w:rFonts w:cstheme="minorHAnsi"/>
                <w:sz w:val="24"/>
                <w:szCs w:val="24"/>
                <w:lang w:val="es-CU"/>
              </w:rPr>
              <w:t>Noradrenalina</w:t>
            </w:r>
          </w:p>
        </w:tc>
        <w:tc>
          <w:tcPr>
            <w:tcW w:w="1148" w:type="dxa"/>
          </w:tcPr>
          <w:p w:rsidR="00E30B8E" w:rsidRPr="00000BA2" w:rsidRDefault="00E30B8E" w:rsidP="00000BA2">
            <w:pPr>
              <w:jc w:val="both"/>
              <w:rPr>
                <w:rFonts w:cstheme="minorHAnsi"/>
                <w:sz w:val="24"/>
                <w:szCs w:val="24"/>
                <w:lang w:val="es-CU"/>
              </w:rPr>
            </w:pPr>
            <w:r w:rsidRPr="00000BA2">
              <w:rPr>
                <w:rFonts w:cstheme="minorHAnsi"/>
                <w:sz w:val="24"/>
                <w:szCs w:val="24"/>
                <w:lang w:val="es-CU"/>
              </w:rPr>
              <w:t>Dopamina</w:t>
            </w:r>
          </w:p>
        </w:tc>
        <w:tc>
          <w:tcPr>
            <w:tcW w:w="1396" w:type="dxa"/>
          </w:tcPr>
          <w:p w:rsidR="00E30B8E" w:rsidRPr="00000BA2" w:rsidRDefault="00E30B8E" w:rsidP="00000BA2">
            <w:pPr>
              <w:jc w:val="both"/>
              <w:rPr>
                <w:rFonts w:cstheme="minorHAnsi"/>
                <w:sz w:val="24"/>
                <w:szCs w:val="24"/>
                <w:lang w:val="es-CU"/>
              </w:rPr>
            </w:pPr>
            <w:r w:rsidRPr="00000BA2">
              <w:rPr>
                <w:rFonts w:cstheme="minorHAnsi"/>
                <w:sz w:val="24"/>
                <w:szCs w:val="24"/>
                <w:lang w:val="es-CU"/>
              </w:rPr>
              <w:t>Dopamina beta hidroxilasa</w:t>
            </w:r>
          </w:p>
        </w:tc>
        <w:tc>
          <w:tcPr>
            <w:tcW w:w="4184" w:type="dxa"/>
          </w:tcPr>
          <w:p w:rsidR="00E30B8E" w:rsidRPr="00000BA2" w:rsidRDefault="00E30B8E" w:rsidP="00000BA2">
            <w:pPr>
              <w:jc w:val="both"/>
              <w:rPr>
                <w:rFonts w:cstheme="minorHAnsi"/>
                <w:sz w:val="24"/>
                <w:szCs w:val="24"/>
                <w:lang w:val="es-CU"/>
              </w:rPr>
            </w:pPr>
            <w:r w:rsidRPr="00000BA2">
              <w:rPr>
                <w:rFonts w:cstheme="minorHAnsi"/>
                <w:sz w:val="24"/>
                <w:szCs w:val="24"/>
                <w:lang w:val="es-CU"/>
              </w:rPr>
              <w:t>Enzimática: MAO y COMT</w:t>
            </w:r>
          </w:p>
          <w:p w:rsidR="00E30B8E" w:rsidRPr="00000BA2" w:rsidRDefault="00E30B8E" w:rsidP="00000BA2">
            <w:pPr>
              <w:jc w:val="both"/>
              <w:rPr>
                <w:rFonts w:cstheme="minorHAnsi"/>
                <w:sz w:val="24"/>
                <w:szCs w:val="24"/>
                <w:lang w:val="es-CU"/>
              </w:rPr>
            </w:pPr>
            <w:r w:rsidRPr="00000BA2">
              <w:rPr>
                <w:rFonts w:cstheme="minorHAnsi"/>
                <w:sz w:val="24"/>
                <w:szCs w:val="24"/>
                <w:lang w:val="es-CU"/>
              </w:rPr>
              <w:t xml:space="preserve">No enzimática: Recaptación 1 y 2 mediante NET, OCT 1,2 y 3. </w:t>
            </w:r>
          </w:p>
        </w:tc>
      </w:tr>
    </w:tbl>
    <w:p w:rsidR="00E30B8E" w:rsidRPr="00000BA2" w:rsidRDefault="00E30B8E" w:rsidP="00000BA2">
      <w:pPr>
        <w:spacing w:after="0" w:line="240" w:lineRule="auto"/>
        <w:jc w:val="both"/>
        <w:rPr>
          <w:rFonts w:cstheme="minorHAnsi"/>
          <w:sz w:val="24"/>
          <w:szCs w:val="24"/>
          <w:lang w:val="es-CU"/>
        </w:rPr>
      </w:pPr>
    </w:p>
    <w:p w:rsidR="00E30B8E" w:rsidRPr="00000BA2" w:rsidRDefault="00E30B8E" w:rsidP="00000BA2">
      <w:pPr>
        <w:spacing w:after="0"/>
        <w:jc w:val="both"/>
        <w:rPr>
          <w:rFonts w:cstheme="minorHAnsi"/>
          <w:sz w:val="24"/>
          <w:szCs w:val="24"/>
          <w:lang w:val="es-CU"/>
        </w:rPr>
      </w:pPr>
      <w:r w:rsidRPr="00000BA2">
        <w:rPr>
          <w:rFonts w:cstheme="minorHAnsi"/>
          <w:sz w:val="24"/>
          <w:szCs w:val="24"/>
          <w:lang w:val="es-CU"/>
        </w:rPr>
        <w:t xml:space="preserve">II) </w:t>
      </w:r>
      <w:r w:rsidR="008C1B5A" w:rsidRPr="00000BA2">
        <w:rPr>
          <w:rFonts w:cstheme="minorHAnsi"/>
          <w:sz w:val="24"/>
          <w:szCs w:val="24"/>
          <w:lang w:val="es-CU"/>
        </w:rPr>
        <w:t>IDENTIFICAR</w:t>
      </w:r>
      <w:r w:rsidRPr="00000BA2">
        <w:rPr>
          <w:rFonts w:cstheme="minorHAnsi"/>
          <w:sz w:val="24"/>
          <w:szCs w:val="24"/>
          <w:lang w:val="es-CU"/>
        </w:rPr>
        <w:t xml:space="preserve"> LOS FÁRMACOS QUE PUEDEN MODIFICAR LOS PASOS DE SÍNTESIS, ALMACENAMIENTO, LIBERACIÓN, INTERACCIÓN CON RECEPTORES E INACTIVACIÓN DE CADA NEUROTRANSMISOR, ASÍ COMO SUS IMPLICACIONES EN LA TERAPÉUTICA.</w:t>
      </w:r>
    </w:p>
    <w:p w:rsidR="00E30B8E" w:rsidRPr="00000BA2" w:rsidRDefault="00E30B8E" w:rsidP="00000BA2">
      <w:pPr>
        <w:spacing w:after="0"/>
        <w:jc w:val="both"/>
        <w:rPr>
          <w:rFonts w:cstheme="minorHAnsi"/>
          <w:sz w:val="24"/>
          <w:szCs w:val="24"/>
          <w:lang w:val="es-CU"/>
        </w:rPr>
      </w:pPr>
      <w:r w:rsidRPr="00000BA2">
        <w:rPr>
          <w:rFonts w:cstheme="minorHAnsi"/>
          <w:sz w:val="24"/>
          <w:szCs w:val="24"/>
          <w:lang w:val="es-CU"/>
        </w:rPr>
        <w:t>EJEMPLO</w:t>
      </w:r>
      <w:r w:rsidR="0045737B" w:rsidRPr="00000BA2">
        <w:rPr>
          <w:rFonts w:cstheme="minorHAnsi"/>
          <w:sz w:val="24"/>
          <w:szCs w:val="24"/>
          <w:lang w:val="es-CU"/>
        </w:rPr>
        <w:t>S DE FÁRMACOS QUE MODIFICAN LOS PASOS DE LA NEUROTRANSMISIÓN Y SU UTI</w:t>
      </w:r>
      <w:r w:rsidR="009E1CC9" w:rsidRPr="00000BA2">
        <w:rPr>
          <w:rFonts w:cstheme="minorHAnsi"/>
          <w:sz w:val="24"/>
          <w:szCs w:val="24"/>
          <w:lang w:val="es-CU"/>
        </w:rPr>
        <w:t>L</w:t>
      </w:r>
      <w:r w:rsidR="0045737B" w:rsidRPr="00000BA2">
        <w:rPr>
          <w:rFonts w:cstheme="minorHAnsi"/>
          <w:sz w:val="24"/>
          <w:szCs w:val="24"/>
          <w:lang w:val="es-CU"/>
        </w:rPr>
        <w:t>IDAD TERAPÉUTICA</w:t>
      </w:r>
      <w:r w:rsidRPr="00000BA2">
        <w:rPr>
          <w:rFonts w:cstheme="minorHAnsi"/>
          <w:sz w:val="24"/>
          <w:szCs w:val="24"/>
          <w:lang w:val="es-CU"/>
        </w:rPr>
        <w:t>:</w:t>
      </w:r>
    </w:p>
    <w:p w:rsidR="0045737B" w:rsidRPr="00000BA2" w:rsidRDefault="0045737B" w:rsidP="00000BA2">
      <w:pPr>
        <w:spacing w:after="0"/>
        <w:jc w:val="both"/>
        <w:rPr>
          <w:rFonts w:cstheme="minorHAnsi"/>
          <w:sz w:val="24"/>
          <w:szCs w:val="24"/>
          <w:u w:val="single"/>
          <w:lang w:val="es-CU"/>
        </w:rPr>
      </w:pPr>
      <w:r w:rsidRPr="00000BA2">
        <w:rPr>
          <w:rFonts w:cstheme="minorHAnsi"/>
          <w:sz w:val="24"/>
          <w:szCs w:val="24"/>
          <w:u w:val="single"/>
          <w:lang w:val="es-CU"/>
        </w:rPr>
        <w:t xml:space="preserve">Fármacos que modifican la síntesis: </w:t>
      </w:r>
    </w:p>
    <w:p w:rsidR="0045737B" w:rsidRPr="00000BA2" w:rsidRDefault="0045737B" w:rsidP="00000BA2">
      <w:pPr>
        <w:spacing w:after="0"/>
        <w:jc w:val="both"/>
        <w:rPr>
          <w:rFonts w:cstheme="minorHAnsi"/>
          <w:sz w:val="24"/>
          <w:szCs w:val="24"/>
          <w:lang w:val="es-CU"/>
        </w:rPr>
      </w:pPr>
      <w:r w:rsidRPr="00000BA2">
        <w:rPr>
          <w:rFonts w:cstheme="minorHAnsi"/>
          <w:sz w:val="24"/>
          <w:szCs w:val="24"/>
          <w:lang w:val="es-CU"/>
        </w:rPr>
        <w:t xml:space="preserve">La </w:t>
      </w:r>
      <w:r w:rsidRPr="00000BA2">
        <w:rPr>
          <w:rFonts w:cstheme="minorHAnsi"/>
          <w:b/>
          <w:sz w:val="24"/>
          <w:szCs w:val="24"/>
          <w:lang w:val="es-ES"/>
        </w:rPr>
        <w:t>Levodopa</w:t>
      </w:r>
      <w:r w:rsidRPr="00000BA2">
        <w:rPr>
          <w:rFonts w:cstheme="minorHAnsi"/>
          <w:sz w:val="24"/>
          <w:szCs w:val="24"/>
          <w:lang w:val="es-ES"/>
        </w:rPr>
        <w:t xml:space="preserve"> atraviesa la barrera hematoencefálica y constituye un sustrato para la dopa descarboxilasa, fabricándose entonces dopamina, neurotransmisor que está disminuido en la </w:t>
      </w:r>
      <w:r w:rsidRPr="00000BA2">
        <w:rPr>
          <w:rFonts w:cstheme="minorHAnsi"/>
          <w:b/>
          <w:sz w:val="24"/>
          <w:szCs w:val="24"/>
          <w:lang w:val="es-ES"/>
        </w:rPr>
        <w:t>Enfermedad de Parkinson</w:t>
      </w:r>
      <w:r w:rsidRPr="00000BA2">
        <w:rPr>
          <w:rFonts w:cstheme="minorHAnsi"/>
          <w:sz w:val="24"/>
          <w:szCs w:val="24"/>
          <w:lang w:val="es-ES"/>
        </w:rPr>
        <w:t>.</w:t>
      </w:r>
    </w:p>
    <w:p w:rsidR="0045737B" w:rsidRPr="00000BA2" w:rsidRDefault="0045737B" w:rsidP="00000BA2">
      <w:pPr>
        <w:spacing w:after="0"/>
        <w:jc w:val="both"/>
        <w:rPr>
          <w:rFonts w:cstheme="minorHAnsi"/>
          <w:sz w:val="24"/>
          <w:szCs w:val="24"/>
          <w:u w:val="single"/>
          <w:lang w:val="es-CU"/>
        </w:rPr>
      </w:pPr>
      <w:r w:rsidRPr="00000BA2">
        <w:rPr>
          <w:rFonts w:cstheme="minorHAnsi"/>
          <w:sz w:val="24"/>
          <w:szCs w:val="24"/>
          <w:u w:val="single"/>
          <w:lang w:val="es-CU"/>
        </w:rPr>
        <w:t xml:space="preserve">Fármacos que modifican el almacenamiento: </w:t>
      </w:r>
    </w:p>
    <w:p w:rsidR="0045737B" w:rsidRPr="00000BA2" w:rsidRDefault="0045737B" w:rsidP="00000BA2">
      <w:pPr>
        <w:spacing w:after="0"/>
        <w:jc w:val="both"/>
        <w:rPr>
          <w:rFonts w:cstheme="minorHAnsi"/>
          <w:sz w:val="24"/>
          <w:szCs w:val="24"/>
          <w:lang w:val="es-CU"/>
        </w:rPr>
      </w:pPr>
      <w:r w:rsidRPr="00000BA2">
        <w:rPr>
          <w:rFonts w:cstheme="minorHAnsi"/>
          <w:sz w:val="24"/>
          <w:szCs w:val="24"/>
          <w:lang w:val="es-CU"/>
        </w:rPr>
        <w:t xml:space="preserve">La </w:t>
      </w:r>
      <w:r w:rsidRPr="00000BA2">
        <w:rPr>
          <w:rFonts w:cstheme="minorHAnsi"/>
          <w:b/>
          <w:sz w:val="24"/>
          <w:szCs w:val="24"/>
          <w:lang w:val="es-CU"/>
        </w:rPr>
        <w:t>Reserpina</w:t>
      </w:r>
      <w:r w:rsidRPr="00000BA2">
        <w:rPr>
          <w:rFonts w:cstheme="minorHAnsi"/>
          <w:sz w:val="24"/>
          <w:szCs w:val="24"/>
          <w:lang w:val="es-CU"/>
        </w:rPr>
        <w:t xml:space="preserve"> ejerce su acción inhibiendo el almacenamiento de noradrenalina, por el bloqueo que provoca sobre el transporte de esta y otras aminas hacia el interior de las vesículas sinápticas, al competir con estas por la unión a la proteína transportadora del neurotransmisor hacia el interior de la vesícula (VMAT2).  Se une fuertemente a las vesículas sinápticas y las convierte en disfuncionales, por lo que pierden la capacidad de almacenar el neurotransmisor, lo cual produce un incremento de las concentraciones de este en el citoplasma y favorece su inactivación por la MAO. Este fármaco, se utilizó como </w:t>
      </w:r>
      <w:r w:rsidRPr="00000BA2">
        <w:rPr>
          <w:rFonts w:cstheme="minorHAnsi"/>
          <w:b/>
          <w:sz w:val="24"/>
          <w:szCs w:val="24"/>
          <w:lang w:val="es-CU"/>
        </w:rPr>
        <w:t>antihipertensivo</w:t>
      </w:r>
      <w:r w:rsidRPr="00000BA2">
        <w:rPr>
          <w:rFonts w:cstheme="minorHAnsi"/>
          <w:sz w:val="24"/>
          <w:szCs w:val="24"/>
          <w:lang w:val="es-CU"/>
        </w:rPr>
        <w:t xml:space="preserve"> durante mucho tiempo, pero en la actualidad está en desuso por sus efectos adversos.</w:t>
      </w:r>
    </w:p>
    <w:p w:rsidR="00E30B8E" w:rsidRPr="00000BA2" w:rsidRDefault="00E30B8E" w:rsidP="00000BA2">
      <w:pPr>
        <w:spacing w:after="0"/>
        <w:jc w:val="both"/>
        <w:rPr>
          <w:rFonts w:cstheme="minorHAnsi"/>
          <w:sz w:val="24"/>
          <w:szCs w:val="24"/>
          <w:u w:val="single"/>
          <w:lang w:val="es-CU"/>
        </w:rPr>
      </w:pPr>
      <w:r w:rsidRPr="00000BA2">
        <w:rPr>
          <w:rFonts w:cstheme="minorHAnsi"/>
          <w:sz w:val="24"/>
          <w:szCs w:val="24"/>
          <w:u w:val="single"/>
          <w:lang w:val="es-CU"/>
        </w:rPr>
        <w:t xml:space="preserve">Fármacos que modifican la liberación: </w:t>
      </w:r>
    </w:p>
    <w:p w:rsidR="0045737B" w:rsidRPr="00000BA2" w:rsidRDefault="0045737B" w:rsidP="00000BA2">
      <w:pPr>
        <w:spacing w:after="0"/>
        <w:jc w:val="both"/>
        <w:rPr>
          <w:rFonts w:cstheme="minorHAnsi"/>
          <w:sz w:val="24"/>
          <w:szCs w:val="24"/>
          <w:lang w:val="es-CU"/>
        </w:rPr>
      </w:pPr>
      <w:r w:rsidRPr="00000BA2">
        <w:rPr>
          <w:rFonts w:cstheme="minorHAnsi"/>
          <w:sz w:val="24"/>
          <w:szCs w:val="24"/>
          <w:lang w:val="es-ES"/>
        </w:rPr>
        <w:t xml:space="preserve">La </w:t>
      </w:r>
      <w:r w:rsidRPr="00000BA2">
        <w:rPr>
          <w:rFonts w:cstheme="minorHAnsi"/>
          <w:b/>
          <w:bCs/>
          <w:sz w:val="24"/>
          <w:szCs w:val="24"/>
          <w:lang w:val="es-ES"/>
        </w:rPr>
        <w:t xml:space="preserve">Toxina botulínica, </w:t>
      </w:r>
      <w:r w:rsidRPr="00000BA2">
        <w:rPr>
          <w:rFonts w:cstheme="minorHAnsi"/>
          <w:sz w:val="24"/>
          <w:szCs w:val="24"/>
          <w:lang w:val="es-ES"/>
        </w:rPr>
        <w:t xml:space="preserve">contienen una serie de peptidasas, que degradan varias proteínas específicas que intervienen en la exocitosis (complejo SNARE) y provocan así un bloqueo de larga duración de la función sináptica colinérgica. En su formulación de BOTOX es útil en el tratamiento del </w:t>
      </w:r>
      <w:r w:rsidRPr="00000BA2">
        <w:rPr>
          <w:rFonts w:cstheme="minorHAnsi"/>
          <w:b/>
          <w:sz w:val="24"/>
          <w:szCs w:val="24"/>
          <w:lang w:val="es-ES"/>
        </w:rPr>
        <w:t xml:space="preserve">estrabismo, el </w:t>
      </w:r>
      <w:proofErr w:type="spellStart"/>
      <w:r w:rsidRPr="00000BA2">
        <w:rPr>
          <w:rFonts w:cstheme="minorHAnsi"/>
          <w:b/>
          <w:sz w:val="24"/>
          <w:szCs w:val="24"/>
          <w:lang w:val="es-ES"/>
        </w:rPr>
        <w:t>blefarospasmo</w:t>
      </w:r>
      <w:proofErr w:type="spellEnd"/>
      <w:r w:rsidRPr="00000BA2">
        <w:rPr>
          <w:rFonts w:cstheme="minorHAnsi"/>
          <w:b/>
          <w:sz w:val="24"/>
          <w:szCs w:val="24"/>
          <w:lang w:val="es-ES"/>
        </w:rPr>
        <w:t xml:space="preserve"> y con fines cosméticos</w:t>
      </w:r>
      <w:r w:rsidRPr="00000BA2">
        <w:rPr>
          <w:rFonts w:cstheme="minorHAnsi"/>
          <w:sz w:val="24"/>
          <w:szCs w:val="24"/>
          <w:lang w:val="es-ES"/>
        </w:rPr>
        <w:t>.</w:t>
      </w:r>
    </w:p>
    <w:p w:rsidR="00E30B8E" w:rsidRPr="00000BA2" w:rsidRDefault="00E30B8E" w:rsidP="00000BA2">
      <w:pPr>
        <w:spacing w:after="0"/>
        <w:jc w:val="both"/>
        <w:rPr>
          <w:rFonts w:cstheme="minorHAnsi"/>
          <w:sz w:val="24"/>
          <w:szCs w:val="24"/>
          <w:u w:val="single"/>
          <w:lang w:val="es-CU"/>
        </w:rPr>
      </w:pPr>
      <w:r w:rsidRPr="00000BA2">
        <w:rPr>
          <w:rFonts w:cstheme="minorHAnsi"/>
          <w:sz w:val="24"/>
          <w:szCs w:val="24"/>
          <w:u w:val="single"/>
          <w:lang w:val="es-CU"/>
        </w:rPr>
        <w:t xml:space="preserve">Fármacos que modifican la inactivación: </w:t>
      </w:r>
    </w:p>
    <w:p w:rsidR="00E30B8E" w:rsidRPr="00000BA2" w:rsidRDefault="00E30B8E" w:rsidP="00000BA2">
      <w:pPr>
        <w:spacing w:after="0"/>
        <w:jc w:val="both"/>
        <w:rPr>
          <w:rFonts w:cstheme="minorHAnsi"/>
          <w:sz w:val="24"/>
          <w:szCs w:val="24"/>
          <w:lang w:val="es-CU"/>
        </w:rPr>
      </w:pPr>
      <w:r w:rsidRPr="00000BA2">
        <w:rPr>
          <w:rFonts w:cstheme="minorHAnsi"/>
          <w:sz w:val="24"/>
          <w:szCs w:val="24"/>
          <w:lang w:val="es-ES"/>
        </w:rPr>
        <w:t xml:space="preserve">Los antidepresivos tricíclicos como </w:t>
      </w:r>
      <w:r w:rsidRPr="00000BA2">
        <w:rPr>
          <w:rFonts w:cstheme="minorHAnsi"/>
          <w:bCs/>
          <w:sz w:val="24"/>
          <w:szCs w:val="24"/>
          <w:lang w:val="es-ES"/>
        </w:rPr>
        <w:t xml:space="preserve">la </w:t>
      </w:r>
      <w:proofErr w:type="spellStart"/>
      <w:r w:rsidRPr="00000BA2">
        <w:rPr>
          <w:rFonts w:cstheme="minorHAnsi"/>
          <w:b/>
          <w:bCs/>
          <w:sz w:val="24"/>
          <w:szCs w:val="24"/>
          <w:lang w:val="es-ES"/>
        </w:rPr>
        <w:t>amitripitilina</w:t>
      </w:r>
      <w:proofErr w:type="spellEnd"/>
      <w:r w:rsidRPr="00000BA2">
        <w:rPr>
          <w:rFonts w:cstheme="minorHAnsi"/>
          <w:b/>
          <w:bCs/>
          <w:sz w:val="24"/>
          <w:szCs w:val="24"/>
          <w:lang w:val="es-ES"/>
        </w:rPr>
        <w:t xml:space="preserve"> y la </w:t>
      </w:r>
      <w:proofErr w:type="spellStart"/>
      <w:r w:rsidRPr="00000BA2">
        <w:rPr>
          <w:rFonts w:cstheme="minorHAnsi"/>
          <w:b/>
          <w:bCs/>
          <w:sz w:val="24"/>
          <w:szCs w:val="24"/>
          <w:lang w:val="es-ES"/>
        </w:rPr>
        <w:t>imipramina</w:t>
      </w:r>
      <w:proofErr w:type="spellEnd"/>
      <w:r w:rsidRPr="00000BA2">
        <w:rPr>
          <w:rFonts w:cstheme="minorHAnsi"/>
          <w:bCs/>
          <w:sz w:val="24"/>
          <w:szCs w:val="24"/>
          <w:lang w:val="es-ES"/>
        </w:rPr>
        <w:t xml:space="preserve"> </w:t>
      </w:r>
      <w:r w:rsidRPr="00000BA2">
        <w:rPr>
          <w:rFonts w:cstheme="minorHAnsi"/>
          <w:sz w:val="24"/>
          <w:szCs w:val="24"/>
          <w:lang w:val="es-ES"/>
        </w:rPr>
        <w:t xml:space="preserve">inhiben la recaptación 1 de noradrenalina, aumentando los niveles de este neurotransmisor en el espacio sináptico. Son útiles en la </w:t>
      </w:r>
      <w:r w:rsidRPr="00000BA2">
        <w:rPr>
          <w:rFonts w:cstheme="minorHAnsi"/>
          <w:b/>
          <w:sz w:val="24"/>
          <w:szCs w:val="24"/>
          <w:lang w:val="es-ES"/>
        </w:rPr>
        <w:t>depresión,</w:t>
      </w:r>
      <w:r w:rsidRPr="00000BA2">
        <w:rPr>
          <w:rFonts w:cstheme="minorHAnsi"/>
          <w:sz w:val="24"/>
          <w:szCs w:val="24"/>
          <w:lang w:val="es-ES"/>
        </w:rPr>
        <w:t xml:space="preserve"> en cuya fisiopatología interviene el déficit de aminas biógenas. </w:t>
      </w:r>
    </w:p>
    <w:p w:rsidR="00054199" w:rsidRDefault="00054199" w:rsidP="00000BA2">
      <w:pPr>
        <w:spacing w:after="0"/>
        <w:jc w:val="both"/>
        <w:rPr>
          <w:rFonts w:cstheme="minorHAnsi"/>
          <w:b/>
          <w:sz w:val="24"/>
          <w:szCs w:val="24"/>
          <w:u w:val="single"/>
          <w:lang w:val="es-ES_tradnl"/>
        </w:rPr>
      </w:pPr>
    </w:p>
    <w:p w:rsidR="00054199" w:rsidRDefault="00054199" w:rsidP="00000BA2">
      <w:pPr>
        <w:spacing w:after="0"/>
        <w:jc w:val="both"/>
        <w:rPr>
          <w:rFonts w:cstheme="minorHAnsi"/>
          <w:b/>
          <w:sz w:val="24"/>
          <w:szCs w:val="24"/>
          <w:u w:val="single"/>
          <w:lang w:val="es-ES_tradnl"/>
        </w:rPr>
      </w:pPr>
    </w:p>
    <w:p w:rsidR="007D6B88" w:rsidRPr="00000BA2" w:rsidRDefault="007D6B88" w:rsidP="00000BA2">
      <w:pPr>
        <w:spacing w:after="0"/>
        <w:jc w:val="both"/>
        <w:rPr>
          <w:rFonts w:cstheme="minorHAnsi"/>
          <w:b/>
          <w:sz w:val="24"/>
          <w:szCs w:val="24"/>
          <w:u w:val="single"/>
          <w:lang w:val="es-ES_tradnl"/>
        </w:rPr>
      </w:pPr>
      <w:r w:rsidRPr="00000BA2">
        <w:rPr>
          <w:rFonts w:cstheme="minorHAnsi"/>
          <w:b/>
          <w:sz w:val="24"/>
          <w:szCs w:val="24"/>
          <w:u w:val="single"/>
          <w:lang w:val="es-ES_tradnl"/>
        </w:rPr>
        <w:lastRenderedPageBreak/>
        <w:t>TAREAS A RESOLVER</w:t>
      </w:r>
    </w:p>
    <w:p w:rsidR="009E1CC9" w:rsidRPr="00000BA2" w:rsidRDefault="009E1CC9" w:rsidP="00000BA2">
      <w:pPr>
        <w:spacing w:after="0"/>
        <w:jc w:val="both"/>
        <w:rPr>
          <w:rFonts w:cstheme="minorHAnsi"/>
          <w:b/>
          <w:sz w:val="24"/>
          <w:szCs w:val="24"/>
          <w:lang w:val="es-ES_tradnl"/>
        </w:rPr>
      </w:pPr>
      <w:r w:rsidRPr="00000BA2">
        <w:rPr>
          <w:rFonts w:cstheme="minorHAnsi"/>
          <w:b/>
          <w:sz w:val="24"/>
          <w:szCs w:val="24"/>
          <w:lang w:val="es-ES_tradnl"/>
        </w:rPr>
        <w:t>Situación problema:</w:t>
      </w:r>
    </w:p>
    <w:p w:rsidR="009E1CC9" w:rsidRPr="00000BA2" w:rsidRDefault="009E1CC9" w:rsidP="00000BA2">
      <w:pPr>
        <w:spacing w:after="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 xml:space="preserve">Paciente de 38 años que acude al cuerpo de guardia por presentar </w:t>
      </w:r>
      <w:r w:rsidR="00B171CF" w:rsidRPr="00000BA2">
        <w:rPr>
          <w:rFonts w:cstheme="minorHAnsi"/>
          <w:sz w:val="24"/>
          <w:szCs w:val="24"/>
          <w:lang w:val="es-ES_tradnl"/>
        </w:rPr>
        <w:t xml:space="preserve">fatiga muscular, calambres, </w:t>
      </w:r>
      <w:r w:rsidRPr="00000BA2">
        <w:rPr>
          <w:rFonts w:cstheme="minorHAnsi"/>
          <w:sz w:val="24"/>
          <w:szCs w:val="24"/>
          <w:lang w:val="es-ES_tradnl"/>
        </w:rPr>
        <w:t xml:space="preserve">náuseas, vómitos, diarreas, visión borrosa y falta de aire. Al examen físico se muestra sudoroso, </w:t>
      </w:r>
      <w:proofErr w:type="spellStart"/>
      <w:r w:rsidRPr="00000BA2">
        <w:rPr>
          <w:rFonts w:cstheme="minorHAnsi"/>
          <w:sz w:val="24"/>
          <w:szCs w:val="24"/>
          <w:lang w:val="es-ES_tradnl"/>
        </w:rPr>
        <w:t>bradicárdico</w:t>
      </w:r>
      <w:proofErr w:type="spellEnd"/>
      <w:r w:rsidRPr="00000BA2">
        <w:rPr>
          <w:rFonts w:cstheme="minorHAnsi"/>
          <w:sz w:val="24"/>
          <w:szCs w:val="24"/>
          <w:lang w:val="es-ES_tradnl"/>
        </w:rPr>
        <w:t xml:space="preserve">, con tensión arterial baja, miosis y sialorrea. A la auscultación se encuentran estertores sibilantes. El paciente refiere que es trabajador agrícola y que hace unas horas fumigó su cosecha con </w:t>
      </w:r>
      <w:proofErr w:type="spellStart"/>
      <w:r w:rsidRPr="00000BA2">
        <w:rPr>
          <w:rFonts w:cstheme="minorHAnsi"/>
          <w:sz w:val="24"/>
          <w:szCs w:val="24"/>
          <w:lang w:val="es-ES_tradnl"/>
        </w:rPr>
        <w:t>Parathión</w:t>
      </w:r>
      <w:proofErr w:type="spellEnd"/>
      <w:r w:rsidRPr="00000BA2">
        <w:rPr>
          <w:rFonts w:cstheme="minorHAnsi"/>
          <w:sz w:val="24"/>
          <w:szCs w:val="24"/>
          <w:lang w:val="es-ES_tradnl"/>
        </w:rPr>
        <w:t>.</w:t>
      </w:r>
    </w:p>
    <w:p w:rsidR="009E1CC9" w:rsidRPr="00000BA2" w:rsidRDefault="009E1CC9" w:rsidP="00000BA2">
      <w:pPr>
        <w:spacing w:after="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 xml:space="preserve">El médico diagnostica una intoxicación con </w:t>
      </w:r>
      <w:proofErr w:type="spellStart"/>
      <w:r w:rsidRPr="00000BA2">
        <w:rPr>
          <w:rFonts w:cstheme="minorHAnsi"/>
          <w:sz w:val="24"/>
          <w:szCs w:val="24"/>
          <w:lang w:val="es-ES_tradnl"/>
        </w:rPr>
        <w:t>órganofosforados</w:t>
      </w:r>
      <w:proofErr w:type="spellEnd"/>
      <w:r w:rsidRPr="00000BA2">
        <w:rPr>
          <w:rFonts w:cstheme="minorHAnsi"/>
          <w:sz w:val="24"/>
          <w:szCs w:val="24"/>
          <w:lang w:val="es-ES_tradnl"/>
        </w:rPr>
        <w:t>.</w:t>
      </w:r>
    </w:p>
    <w:p w:rsidR="009E1CC9" w:rsidRPr="00000BA2" w:rsidRDefault="009E1CC9" w:rsidP="00000BA2">
      <w:pPr>
        <w:spacing w:after="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>Preguntas:</w:t>
      </w:r>
    </w:p>
    <w:p w:rsidR="009E1CC9" w:rsidRPr="00000BA2" w:rsidRDefault="009E1CC9" w:rsidP="00000BA2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>¿Qué sistema neurotransmisor se encuentra afectado?</w:t>
      </w:r>
    </w:p>
    <w:p w:rsidR="009E1CC9" w:rsidRPr="00000BA2" w:rsidRDefault="009E1CC9" w:rsidP="00000BA2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>¿Qué paso específico de la neurotransmisión se encuentra comprometido?</w:t>
      </w:r>
    </w:p>
    <w:p w:rsidR="009E1CC9" w:rsidRPr="00000BA2" w:rsidRDefault="009E1CC9" w:rsidP="00000BA2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>¿Qué fármacos pudieran revertir estos síntomas y cuál sería su mecanismo de acción?</w:t>
      </w:r>
    </w:p>
    <w:p w:rsidR="009E1CC9" w:rsidRPr="00000BA2" w:rsidRDefault="009E1CC9" w:rsidP="00000BA2">
      <w:pPr>
        <w:spacing w:after="0"/>
        <w:jc w:val="both"/>
        <w:rPr>
          <w:rFonts w:cstheme="minorHAnsi"/>
          <w:sz w:val="24"/>
          <w:szCs w:val="24"/>
          <w:u w:val="single"/>
          <w:lang w:val="es-ES_tradnl"/>
        </w:rPr>
      </w:pPr>
      <w:r w:rsidRPr="00000BA2">
        <w:rPr>
          <w:rFonts w:cstheme="minorHAnsi"/>
          <w:sz w:val="24"/>
          <w:szCs w:val="24"/>
          <w:u w:val="single"/>
          <w:lang w:val="es-ES_tradnl"/>
        </w:rPr>
        <w:t>Respuestas:</w:t>
      </w:r>
    </w:p>
    <w:p w:rsidR="009E1CC9" w:rsidRPr="00000BA2" w:rsidRDefault="009E1CC9" w:rsidP="00000BA2">
      <w:pPr>
        <w:spacing w:after="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>1. Sistema colinérgico</w:t>
      </w:r>
    </w:p>
    <w:p w:rsidR="009E1CC9" w:rsidRPr="00000BA2" w:rsidRDefault="00260658" w:rsidP="00000BA2">
      <w:pPr>
        <w:spacing w:after="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>2. Inactivación del neurotransmisor acetil colina al inhibir de forma irreversible la enzima acetilcolinesterasa.</w:t>
      </w:r>
    </w:p>
    <w:p w:rsidR="00260658" w:rsidRPr="00000BA2" w:rsidRDefault="00260658" w:rsidP="00000BA2">
      <w:pPr>
        <w:spacing w:after="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>3. Fármacos útiles:</w:t>
      </w:r>
    </w:p>
    <w:p w:rsidR="00260658" w:rsidRPr="00000BA2" w:rsidRDefault="00260658" w:rsidP="00000BA2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>Atropina: Antagonista muscarínico inespecífico, al bloquear los receptores colinérgicos muscarínicos disminuiría los síntomas relacionados con el exceso de acetilcolina actuando sobre estos receptores.</w:t>
      </w:r>
    </w:p>
    <w:p w:rsidR="00260658" w:rsidRPr="00000BA2" w:rsidRDefault="00260658" w:rsidP="00000BA2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>Reactivadores de la acetilcolinesterasa (</w:t>
      </w:r>
      <w:proofErr w:type="spellStart"/>
      <w:r w:rsidRPr="00000BA2">
        <w:rPr>
          <w:rFonts w:cstheme="minorHAnsi"/>
          <w:sz w:val="24"/>
          <w:szCs w:val="24"/>
          <w:lang w:val="es-ES_tradnl"/>
        </w:rPr>
        <w:t>pralidoxima</w:t>
      </w:r>
      <w:proofErr w:type="spellEnd"/>
      <w:r w:rsidRPr="00000BA2">
        <w:rPr>
          <w:rFonts w:cstheme="minorHAnsi"/>
          <w:sz w:val="24"/>
          <w:szCs w:val="24"/>
          <w:lang w:val="es-ES_tradnl"/>
        </w:rPr>
        <w:t xml:space="preserve">, </w:t>
      </w:r>
      <w:proofErr w:type="spellStart"/>
      <w:r w:rsidRPr="00000BA2">
        <w:rPr>
          <w:rFonts w:cstheme="minorHAnsi"/>
          <w:sz w:val="24"/>
          <w:szCs w:val="24"/>
          <w:lang w:val="es-ES_tradnl"/>
        </w:rPr>
        <w:t>obidoxima</w:t>
      </w:r>
      <w:proofErr w:type="spellEnd"/>
      <w:r w:rsidRPr="00000BA2">
        <w:rPr>
          <w:rFonts w:cstheme="minorHAnsi"/>
          <w:sz w:val="24"/>
          <w:szCs w:val="24"/>
          <w:lang w:val="es-ES_tradnl"/>
        </w:rPr>
        <w:t>), Reactivarían la función de la enzima acetilcolinesterasa,</w:t>
      </w:r>
      <w:r w:rsidR="00BF4E25" w:rsidRPr="00000BA2">
        <w:rPr>
          <w:rFonts w:cstheme="minorHAnsi"/>
          <w:sz w:val="24"/>
          <w:szCs w:val="24"/>
          <w:lang w:val="es-ES_tradnl"/>
        </w:rPr>
        <w:t xml:space="preserve"> y esta lograría degradar entonces nuevamente a la acetilcolina.</w:t>
      </w:r>
    </w:p>
    <w:p w:rsidR="007D6B88" w:rsidRPr="00000BA2" w:rsidRDefault="007D6B88" w:rsidP="00000BA2">
      <w:pPr>
        <w:spacing w:after="0"/>
        <w:jc w:val="both"/>
        <w:rPr>
          <w:rFonts w:cstheme="minorHAnsi"/>
          <w:b/>
          <w:bCs/>
          <w:sz w:val="24"/>
          <w:szCs w:val="24"/>
          <w:u w:val="single"/>
          <w:lang w:val="es-ES_tradnl"/>
        </w:rPr>
      </w:pPr>
      <w:bookmarkStart w:id="0" w:name="_Hlk62924289"/>
      <w:r w:rsidRPr="00000BA2">
        <w:rPr>
          <w:rFonts w:cstheme="minorHAnsi"/>
          <w:b/>
          <w:bCs/>
          <w:sz w:val="24"/>
          <w:szCs w:val="24"/>
          <w:u w:val="single"/>
          <w:lang w:val="es-ES_tradnl"/>
        </w:rPr>
        <w:t xml:space="preserve">PREGUNTAS </w:t>
      </w:r>
      <w:bookmarkStart w:id="1" w:name="_GoBack"/>
      <w:bookmarkEnd w:id="1"/>
      <w:r w:rsidRPr="00000BA2">
        <w:rPr>
          <w:rFonts w:cstheme="minorHAnsi"/>
          <w:b/>
          <w:bCs/>
          <w:sz w:val="24"/>
          <w:szCs w:val="24"/>
          <w:u w:val="single"/>
          <w:lang w:val="es-ES_tradnl"/>
        </w:rPr>
        <w:t xml:space="preserve">PARA </w:t>
      </w:r>
      <w:r w:rsidR="00815E6F">
        <w:rPr>
          <w:rFonts w:cstheme="minorHAnsi"/>
          <w:b/>
          <w:bCs/>
          <w:sz w:val="24"/>
          <w:szCs w:val="24"/>
          <w:u w:val="single"/>
          <w:lang w:val="es-ES_tradnl"/>
        </w:rPr>
        <w:t>AUTO</w:t>
      </w:r>
      <w:r w:rsidRPr="00000BA2">
        <w:rPr>
          <w:rFonts w:cstheme="minorHAnsi"/>
          <w:b/>
          <w:bCs/>
          <w:sz w:val="24"/>
          <w:szCs w:val="24"/>
          <w:u w:val="single"/>
          <w:lang w:val="es-ES_tradnl"/>
        </w:rPr>
        <w:t>EVALUACIÓN</w:t>
      </w:r>
    </w:p>
    <w:bookmarkEnd w:id="0"/>
    <w:p w:rsidR="00BF4E25" w:rsidRPr="00000BA2" w:rsidRDefault="00BF4E25" w:rsidP="00000BA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>Las siguientes enzimas participan en la neurotransmisión adrenérgica, EXCEPTO: (Marque con una X)</w:t>
      </w:r>
    </w:p>
    <w:p w:rsidR="00BF4E25" w:rsidRPr="00000BA2" w:rsidRDefault="00BF4E25" w:rsidP="00000BA2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>___ Tirosina hidroxilasa</w:t>
      </w:r>
    </w:p>
    <w:p w:rsidR="00BF4E25" w:rsidRPr="00000BA2" w:rsidRDefault="00BF4E25" w:rsidP="00000BA2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>___ Dopa descarboxilasa</w:t>
      </w:r>
    </w:p>
    <w:p w:rsidR="00BF4E25" w:rsidRPr="00000BA2" w:rsidRDefault="00BF4E25" w:rsidP="00000BA2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>___ Colina acetil transferasa</w:t>
      </w:r>
    </w:p>
    <w:p w:rsidR="00BF4E25" w:rsidRPr="00000BA2" w:rsidRDefault="00BF4E25" w:rsidP="00000BA2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>___ Dopamina beta hidroxilasa</w:t>
      </w:r>
    </w:p>
    <w:p w:rsidR="00BF4E25" w:rsidRPr="00000BA2" w:rsidRDefault="00BF4E25" w:rsidP="00000BA2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 xml:space="preserve">___ </w:t>
      </w:r>
      <w:proofErr w:type="spellStart"/>
      <w:r w:rsidRPr="00000BA2">
        <w:rPr>
          <w:rFonts w:cstheme="minorHAnsi"/>
          <w:sz w:val="24"/>
          <w:szCs w:val="24"/>
          <w:lang w:val="es-ES_tradnl"/>
        </w:rPr>
        <w:t>Feniletanolamina</w:t>
      </w:r>
      <w:proofErr w:type="spellEnd"/>
      <w:r w:rsidRPr="00000BA2">
        <w:rPr>
          <w:rFonts w:cstheme="minorHAnsi"/>
          <w:sz w:val="24"/>
          <w:szCs w:val="24"/>
          <w:lang w:val="es-ES_tradnl"/>
        </w:rPr>
        <w:t xml:space="preserve"> N-Metiltransferasa</w:t>
      </w:r>
    </w:p>
    <w:p w:rsidR="00BF4E25" w:rsidRPr="00000BA2" w:rsidRDefault="00BF4E25" w:rsidP="00000BA2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>Señale con una V si es verdadero y con una F si es falso:</w:t>
      </w:r>
    </w:p>
    <w:p w:rsidR="00000BA2" w:rsidRDefault="00BF4E25" w:rsidP="00444128">
      <w:pPr>
        <w:numPr>
          <w:ilvl w:val="1"/>
          <w:numId w:val="4"/>
        </w:numPr>
        <w:spacing w:after="0" w:line="240" w:lineRule="auto"/>
        <w:ind w:left="72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>___ La colina es el precursor inmediato de la dopamina en la vía de la síntesis de catecolaminas.</w:t>
      </w:r>
    </w:p>
    <w:p w:rsidR="00000BA2" w:rsidRPr="00000BA2" w:rsidRDefault="00BF4E25" w:rsidP="00444128">
      <w:pPr>
        <w:numPr>
          <w:ilvl w:val="1"/>
          <w:numId w:val="4"/>
        </w:numPr>
        <w:spacing w:after="0" w:line="240" w:lineRule="auto"/>
        <w:ind w:left="72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 xml:space="preserve">___ La acetilcolinesterasa presenta una amplia distribución en tejidos como hígado, piel, cerebro, músculo liso y otros, y presenta menor especificidad de sustrato que la </w:t>
      </w:r>
      <w:proofErr w:type="spellStart"/>
      <w:r w:rsidRPr="00000BA2">
        <w:rPr>
          <w:rFonts w:cstheme="minorHAnsi"/>
          <w:sz w:val="24"/>
          <w:szCs w:val="24"/>
          <w:lang w:val="es-ES_tradnl"/>
        </w:rPr>
        <w:t>butiril</w:t>
      </w:r>
      <w:proofErr w:type="spellEnd"/>
      <w:r w:rsidRPr="00000BA2">
        <w:rPr>
          <w:rFonts w:cstheme="minorHAnsi"/>
          <w:sz w:val="24"/>
          <w:szCs w:val="24"/>
          <w:lang w:val="es-ES_tradnl"/>
        </w:rPr>
        <w:t xml:space="preserve"> colinesterasa.</w:t>
      </w:r>
    </w:p>
    <w:p w:rsidR="00000BA2" w:rsidRPr="00000BA2" w:rsidRDefault="00BF4E25" w:rsidP="006773C1">
      <w:pPr>
        <w:numPr>
          <w:ilvl w:val="1"/>
          <w:numId w:val="4"/>
        </w:numPr>
        <w:spacing w:after="0" w:line="240" w:lineRule="auto"/>
        <w:ind w:left="72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 xml:space="preserve">___ La noradrenalina es capaz de regular su propia liberación a través de interacciones mediadas por </w:t>
      </w:r>
      <w:proofErr w:type="spellStart"/>
      <w:r w:rsidRPr="00000BA2">
        <w:rPr>
          <w:rFonts w:cstheme="minorHAnsi"/>
          <w:sz w:val="24"/>
          <w:szCs w:val="24"/>
          <w:lang w:val="es-ES_tradnl"/>
        </w:rPr>
        <w:t>autoreceptores</w:t>
      </w:r>
      <w:proofErr w:type="spellEnd"/>
      <w:r w:rsidRPr="00000BA2">
        <w:rPr>
          <w:rFonts w:cstheme="minorHAnsi"/>
          <w:sz w:val="24"/>
          <w:szCs w:val="24"/>
          <w:lang w:val="es-ES_tradnl"/>
        </w:rPr>
        <w:t>.</w:t>
      </w:r>
    </w:p>
    <w:p w:rsidR="00000BA2" w:rsidRPr="00000BA2" w:rsidRDefault="00BF4E25" w:rsidP="00247ABB">
      <w:pPr>
        <w:numPr>
          <w:ilvl w:val="1"/>
          <w:numId w:val="4"/>
        </w:numPr>
        <w:spacing w:after="0" w:line="240" w:lineRule="auto"/>
        <w:ind w:left="72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>___ Parte de la colina obtenida a partir de la hidrólisis enzimática de la acetilcolina es recapturada y reutilizada por la terminación nerviosa.</w:t>
      </w:r>
    </w:p>
    <w:p w:rsidR="007D6B88" w:rsidRPr="00000BA2" w:rsidRDefault="00BF4E25" w:rsidP="00105383">
      <w:pPr>
        <w:numPr>
          <w:ilvl w:val="1"/>
          <w:numId w:val="4"/>
        </w:numPr>
        <w:spacing w:after="0" w:line="240" w:lineRule="auto"/>
        <w:ind w:left="720"/>
        <w:jc w:val="both"/>
        <w:rPr>
          <w:rFonts w:cstheme="minorHAnsi"/>
          <w:sz w:val="24"/>
          <w:szCs w:val="24"/>
          <w:lang w:val="es-ES_tradnl"/>
        </w:rPr>
      </w:pPr>
      <w:r w:rsidRPr="00000BA2">
        <w:rPr>
          <w:rFonts w:cstheme="minorHAnsi"/>
          <w:sz w:val="24"/>
          <w:szCs w:val="24"/>
          <w:lang w:val="es-ES_tradnl"/>
        </w:rPr>
        <w:t xml:space="preserve">___ La noradrenalina, una vez liberada de la terminación nerviosa, es degradada rápidamente por enzimas que se encuentran en la unión </w:t>
      </w:r>
      <w:proofErr w:type="spellStart"/>
      <w:r w:rsidRPr="00000BA2">
        <w:rPr>
          <w:rFonts w:cstheme="minorHAnsi"/>
          <w:sz w:val="24"/>
          <w:szCs w:val="24"/>
          <w:lang w:val="es-ES_tradnl"/>
        </w:rPr>
        <w:t>neuroefectora</w:t>
      </w:r>
      <w:proofErr w:type="spellEnd"/>
      <w:r w:rsidRPr="00000BA2">
        <w:rPr>
          <w:rFonts w:cstheme="minorHAnsi"/>
          <w:sz w:val="24"/>
          <w:szCs w:val="24"/>
          <w:lang w:val="es-ES_tradnl"/>
        </w:rPr>
        <w:t>.</w:t>
      </w:r>
    </w:p>
    <w:sectPr w:rsidR="007D6B88" w:rsidRPr="00000BA2" w:rsidSect="00E67ED2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F643D"/>
    <w:multiLevelType w:val="hybridMultilevel"/>
    <w:tmpl w:val="855476BC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068D8"/>
    <w:multiLevelType w:val="hybridMultilevel"/>
    <w:tmpl w:val="D76A8740"/>
    <w:lvl w:ilvl="0" w:tplc="5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9D4AD0"/>
    <w:multiLevelType w:val="hybridMultilevel"/>
    <w:tmpl w:val="32EAA6E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505D85"/>
    <w:multiLevelType w:val="hybridMultilevel"/>
    <w:tmpl w:val="0B4490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327972"/>
    <w:multiLevelType w:val="hybridMultilevel"/>
    <w:tmpl w:val="95C8987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703EC"/>
    <w:multiLevelType w:val="hybridMultilevel"/>
    <w:tmpl w:val="750CC342"/>
    <w:lvl w:ilvl="0" w:tplc="F676B26C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F6"/>
    <w:rsid w:val="00000BA2"/>
    <w:rsid w:val="00054199"/>
    <w:rsid w:val="001736F6"/>
    <w:rsid w:val="00260658"/>
    <w:rsid w:val="002A1AA8"/>
    <w:rsid w:val="0045737B"/>
    <w:rsid w:val="004B2BB3"/>
    <w:rsid w:val="00682DA0"/>
    <w:rsid w:val="007D6B88"/>
    <w:rsid w:val="007F5E2D"/>
    <w:rsid w:val="00815E6F"/>
    <w:rsid w:val="008C1B5A"/>
    <w:rsid w:val="009E1CC9"/>
    <w:rsid w:val="00AB7980"/>
    <w:rsid w:val="00AE31DC"/>
    <w:rsid w:val="00B171CF"/>
    <w:rsid w:val="00BC1514"/>
    <w:rsid w:val="00BF4E25"/>
    <w:rsid w:val="00CD768C"/>
    <w:rsid w:val="00E30B8E"/>
    <w:rsid w:val="00E67ED2"/>
    <w:rsid w:val="00ED4BA9"/>
    <w:rsid w:val="00E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F29F8"/>
  <w15:chartTrackingRefBased/>
  <w15:docId w15:val="{542870EE-E691-47C3-8D57-3A60520B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B8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0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U" w:eastAsia="es-C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1160</Words>
  <Characters>6381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16</cp:revision>
  <dcterms:created xsi:type="dcterms:W3CDTF">2021-01-29T21:38:00Z</dcterms:created>
  <dcterms:modified xsi:type="dcterms:W3CDTF">2021-01-30T23:38:00Z</dcterms:modified>
</cp:coreProperties>
</file>