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74C" w:rsidRPr="003053F5" w:rsidRDefault="006C674C" w:rsidP="003053F5">
      <w:pPr>
        <w:jc w:val="both"/>
        <w:rPr>
          <w:rFonts w:ascii="Arial" w:hAnsi="Arial" w:cs="Arial"/>
        </w:rPr>
      </w:pPr>
      <w:r w:rsidRPr="003053F5">
        <w:rPr>
          <w:rFonts w:ascii="Arial" w:eastAsia="Arial Unicode MS" w:hAnsi="Arial" w:cs="Arial"/>
          <w:b/>
          <w:color w:val="000000"/>
          <w:u w:val="single"/>
        </w:rPr>
        <w:t xml:space="preserve">Guía de Estudio Independiente </w:t>
      </w:r>
    </w:p>
    <w:p w:rsidR="006C674C" w:rsidRPr="003053F5" w:rsidRDefault="006C674C" w:rsidP="003053F5">
      <w:pPr>
        <w:spacing w:beforeAutospacing="1" w:afterAutospacing="1"/>
        <w:jc w:val="both"/>
        <w:rPr>
          <w:rFonts w:ascii="Arial" w:hAnsi="Arial" w:cs="Arial"/>
        </w:rPr>
      </w:pPr>
      <w:r w:rsidRPr="003053F5">
        <w:rPr>
          <w:rFonts w:ascii="Arial" w:hAnsi="Arial" w:cs="Arial"/>
        </w:rPr>
        <w:t xml:space="preserve">Estimado estudiante: </w:t>
      </w:r>
    </w:p>
    <w:p w:rsidR="006C674C" w:rsidRPr="003053F5" w:rsidRDefault="006C674C" w:rsidP="003053F5">
      <w:pPr>
        <w:spacing w:beforeAutospacing="1" w:afterAutospacing="1" w:line="360" w:lineRule="auto"/>
        <w:jc w:val="both"/>
        <w:rPr>
          <w:rFonts w:ascii="Arial" w:hAnsi="Arial" w:cs="Arial"/>
        </w:rPr>
      </w:pPr>
      <w:r w:rsidRPr="003053F5">
        <w:rPr>
          <w:rFonts w:ascii="Arial" w:hAnsi="Arial" w:cs="Arial"/>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asignatura Farmacología I, imprescindibles para el mejor desempeño de tu labor profesional como futuro médico. </w:t>
      </w:r>
    </w:p>
    <w:p w:rsidR="006C674C" w:rsidRPr="003053F5" w:rsidRDefault="006C674C" w:rsidP="003053F5">
      <w:pPr>
        <w:spacing w:line="276" w:lineRule="auto"/>
        <w:jc w:val="both"/>
        <w:rPr>
          <w:rFonts w:ascii="Arial" w:hAnsi="Arial" w:cs="Arial"/>
        </w:rPr>
      </w:pPr>
      <w:r w:rsidRPr="003053F5">
        <w:rPr>
          <w:rFonts w:ascii="Arial" w:hAnsi="Arial" w:cs="Arial"/>
          <w:b/>
        </w:rPr>
        <w:t>Tema 2.</w:t>
      </w:r>
      <w:r w:rsidRPr="003053F5">
        <w:rPr>
          <w:rFonts w:ascii="Arial" w:hAnsi="Arial" w:cs="Arial"/>
        </w:rPr>
        <w:t xml:space="preserve"> Bases científicas que regulan el estudio y posterior utilización de una sustancia como medicamento.</w:t>
      </w:r>
    </w:p>
    <w:p w:rsidR="006C674C" w:rsidRPr="003053F5" w:rsidRDefault="006C674C" w:rsidP="003053F5">
      <w:pPr>
        <w:spacing w:line="276" w:lineRule="auto"/>
        <w:jc w:val="both"/>
        <w:rPr>
          <w:rFonts w:ascii="Arial" w:hAnsi="Arial" w:cs="Arial"/>
          <w:b/>
        </w:rPr>
      </w:pPr>
      <w:r w:rsidRPr="003053F5">
        <w:rPr>
          <w:rFonts w:ascii="Arial" w:hAnsi="Arial" w:cs="Arial"/>
          <w:b/>
        </w:rPr>
        <w:t>Objetivos</w:t>
      </w:r>
    </w:p>
    <w:p w:rsidR="006C674C" w:rsidRPr="003053F5" w:rsidRDefault="006C674C" w:rsidP="003053F5">
      <w:pPr>
        <w:spacing w:line="276" w:lineRule="auto"/>
        <w:jc w:val="both"/>
        <w:rPr>
          <w:rFonts w:ascii="Arial" w:hAnsi="Arial" w:cs="Arial"/>
        </w:rPr>
      </w:pPr>
      <w:r w:rsidRPr="003053F5">
        <w:rPr>
          <w:rFonts w:ascii="Arial" w:hAnsi="Arial" w:cs="Arial"/>
        </w:rPr>
        <w:t>-</w:t>
      </w:r>
      <w:r w:rsidRPr="003053F5">
        <w:rPr>
          <w:rFonts w:ascii="Arial" w:hAnsi="Arial" w:cs="Arial"/>
        </w:rPr>
        <w:tab/>
        <w:t>Aplicar los principios y métodos que regulan el estudio y posterior utilización de un medicamento a criticar la información que se brinda sobre estos en la literatura médica.</w:t>
      </w:r>
    </w:p>
    <w:p w:rsidR="006C674C" w:rsidRPr="003053F5" w:rsidRDefault="006C674C" w:rsidP="003053F5">
      <w:pPr>
        <w:spacing w:line="276" w:lineRule="auto"/>
        <w:jc w:val="both"/>
        <w:rPr>
          <w:rFonts w:ascii="Arial" w:hAnsi="Arial" w:cs="Arial"/>
        </w:rPr>
      </w:pPr>
      <w:r w:rsidRPr="003053F5">
        <w:rPr>
          <w:rFonts w:ascii="Arial" w:hAnsi="Arial" w:cs="Arial"/>
        </w:rPr>
        <w:t>-</w:t>
      </w:r>
      <w:r w:rsidRPr="003053F5">
        <w:rPr>
          <w:rFonts w:ascii="Arial" w:hAnsi="Arial" w:cs="Arial"/>
        </w:rPr>
        <w:tab/>
        <w:t>Valorar el cumplimiento de los principios de la ética médica, el diseño y los resultados de diferentes tipos de ensayos clínicos.</w:t>
      </w:r>
    </w:p>
    <w:p w:rsidR="006C674C" w:rsidRPr="003053F5" w:rsidRDefault="006C674C" w:rsidP="003053F5">
      <w:pPr>
        <w:jc w:val="both"/>
        <w:rPr>
          <w:rFonts w:ascii="Arial" w:hAnsi="Arial" w:cs="Arial"/>
        </w:rPr>
      </w:pPr>
    </w:p>
    <w:p w:rsidR="006C674C" w:rsidRPr="003053F5" w:rsidRDefault="006C674C" w:rsidP="003053F5">
      <w:pPr>
        <w:jc w:val="both"/>
        <w:rPr>
          <w:rFonts w:ascii="Arial" w:hAnsi="Arial" w:cs="Arial"/>
        </w:rPr>
      </w:pPr>
      <w:r w:rsidRPr="003053F5">
        <w:rPr>
          <w:rFonts w:ascii="Arial" w:hAnsi="Arial" w:cs="Arial"/>
          <w:b/>
        </w:rPr>
        <w:t xml:space="preserve">Sumario: </w:t>
      </w:r>
      <w:r w:rsidRPr="003053F5">
        <w:rPr>
          <w:rFonts w:ascii="Arial" w:hAnsi="Arial" w:cs="Arial"/>
        </w:rPr>
        <w:t>Seminario de Ensayos Clínicos</w:t>
      </w:r>
    </w:p>
    <w:p w:rsidR="006C674C" w:rsidRPr="003053F5" w:rsidRDefault="006C674C" w:rsidP="003053F5">
      <w:pPr>
        <w:jc w:val="both"/>
        <w:rPr>
          <w:rFonts w:ascii="Arial" w:hAnsi="Arial" w:cs="Arial"/>
        </w:rPr>
      </w:pPr>
    </w:p>
    <w:p w:rsidR="006C674C" w:rsidRPr="003053F5" w:rsidRDefault="006C674C" w:rsidP="003053F5">
      <w:pPr>
        <w:jc w:val="both"/>
        <w:rPr>
          <w:rFonts w:ascii="Arial" w:hAnsi="Arial" w:cs="Arial"/>
        </w:rPr>
      </w:pPr>
      <w:r w:rsidRPr="003053F5">
        <w:rPr>
          <w:rFonts w:ascii="Arial" w:hAnsi="Arial" w:cs="Arial"/>
          <w:b/>
        </w:rPr>
        <w:t>Orientaciones para el estudio independiente del estudiante</w:t>
      </w:r>
      <w:r w:rsidRPr="003053F5">
        <w:rPr>
          <w:rFonts w:ascii="Arial" w:hAnsi="Arial" w:cs="Arial"/>
        </w:rPr>
        <w:t xml:space="preserve">: Desarrollo y evaluación de un nuevo medicamento. Concepto de ensayos clínicos fase I, II, III, IV. Normas éticas y legales de la prescripción de un medicamento. </w:t>
      </w:r>
    </w:p>
    <w:p w:rsidR="00361365" w:rsidRPr="003053F5" w:rsidRDefault="00361365" w:rsidP="003053F5">
      <w:pPr>
        <w:jc w:val="both"/>
        <w:rPr>
          <w:rFonts w:ascii="Arial" w:hAnsi="Arial" w:cs="Arial"/>
        </w:rPr>
      </w:pPr>
      <w:r w:rsidRPr="003053F5">
        <w:rPr>
          <w:rFonts w:ascii="Arial" w:hAnsi="Arial" w:cs="Arial"/>
        </w:rPr>
        <w:t xml:space="preserve">El desarrollo de un nuevo medicamento es un proceso largo y laborioso, que debe cumplir con una serie de pasos y de requisitos establecidos por las autoridades reguladoras, amparadas en guías éticas internacionales que regulan la investigación biomédica, con el fin de asegurarse que cualquier nuevo medicamento que se desarrolle y que esté disponible para ser usado en los seres humanos tenga un adecuado perfil en cuanto a su eficacia y a su seguridad. </w:t>
      </w:r>
    </w:p>
    <w:p w:rsidR="00361365" w:rsidRPr="003053F5" w:rsidRDefault="00361365" w:rsidP="003053F5">
      <w:pPr>
        <w:autoSpaceDE w:val="0"/>
        <w:autoSpaceDN w:val="0"/>
        <w:adjustRightInd w:val="0"/>
        <w:jc w:val="both"/>
        <w:rPr>
          <w:rFonts w:ascii="Arial" w:hAnsi="Arial" w:cs="Arial"/>
        </w:rPr>
      </w:pPr>
      <w:r w:rsidRPr="003053F5">
        <w:rPr>
          <w:rFonts w:ascii="Arial" w:hAnsi="Arial" w:cs="Arial"/>
        </w:rPr>
        <w:t>El proceso que se sigue comprende una serie de pasos, en los que gradualmente se van evaluando las características y las propiedades de los compuestos, iniciando en el laboratorio de síntesis de productos químicos hasta terminar con observaciones de varios miles de pacientes en centros clínicos hospitalarios en varios países, y pasando antes por estudios experimentales en cultivos celulares y en animales, con una duración total aproximada de 12 años y un costo de varios cientos de millones de dólares. Se trata por lo tanto de un proceso multidisciplinario, en el que intervienen profesionales especializados en distintas áreas.</w:t>
      </w:r>
    </w:p>
    <w:p w:rsidR="00361365" w:rsidRPr="003053F5" w:rsidRDefault="00361365" w:rsidP="003053F5">
      <w:pPr>
        <w:autoSpaceDE w:val="0"/>
        <w:autoSpaceDN w:val="0"/>
        <w:adjustRightInd w:val="0"/>
        <w:jc w:val="both"/>
        <w:rPr>
          <w:rFonts w:ascii="Arial" w:hAnsi="Arial" w:cs="Arial"/>
        </w:rPr>
      </w:pPr>
      <w:r w:rsidRPr="003053F5">
        <w:rPr>
          <w:rFonts w:ascii="Arial" w:hAnsi="Arial" w:cs="Arial"/>
        </w:rPr>
        <w:t xml:space="preserve">En términos generales, el proceso de desarrollo de un nuevo medicamento se divide en dos grandes áreas: los estudios preclínicos y los estudios clínicos. La diferencia básica entre ellos es que en los estudios clínicos se evalúan los efectos del compuesto en los seres humanos. Estos estudios clínicos se denominan ensayos clínicos controlados, e implican cumplir estrictamente una serie de normativas éticas y científicas establecidas </w:t>
      </w:r>
      <w:r w:rsidRPr="003053F5">
        <w:rPr>
          <w:rFonts w:ascii="Arial" w:hAnsi="Arial" w:cs="Arial"/>
        </w:rPr>
        <w:lastRenderedPageBreak/>
        <w:t xml:space="preserve">en un documento conocido como “Guía para la Buena Práctica Clínica” elaborado por representantes de diferentes países. </w:t>
      </w:r>
    </w:p>
    <w:p w:rsidR="00361365" w:rsidRPr="003053F5" w:rsidRDefault="00361365" w:rsidP="003053F5">
      <w:pPr>
        <w:autoSpaceDE w:val="0"/>
        <w:autoSpaceDN w:val="0"/>
        <w:adjustRightInd w:val="0"/>
        <w:jc w:val="both"/>
        <w:rPr>
          <w:rFonts w:ascii="Arial" w:hAnsi="Arial" w:cs="Arial"/>
        </w:rPr>
      </w:pPr>
      <w:r w:rsidRPr="003053F5">
        <w:rPr>
          <w:rFonts w:ascii="Arial" w:hAnsi="Arial" w:cs="Arial"/>
        </w:rPr>
        <w:t>De esta forma se pretende eliminar los posibles factores que puedan incidir en la obtención y en la cuantificación de los datos experimentales, y que logren, por lo tanto, alterar la interpretación de los resultados y las conclusiones del estudio.</w:t>
      </w:r>
    </w:p>
    <w:p w:rsidR="00361365" w:rsidRPr="003053F5" w:rsidRDefault="00361365" w:rsidP="003053F5">
      <w:pPr>
        <w:autoSpaceDE w:val="0"/>
        <w:autoSpaceDN w:val="0"/>
        <w:adjustRightInd w:val="0"/>
        <w:jc w:val="both"/>
        <w:rPr>
          <w:rFonts w:ascii="Arial" w:hAnsi="Arial" w:cs="Arial"/>
        </w:rPr>
      </w:pPr>
      <w:r w:rsidRPr="003053F5">
        <w:rPr>
          <w:rFonts w:ascii="Arial" w:hAnsi="Arial" w:cs="Arial"/>
        </w:rPr>
        <w:t>Todas las fases de investigación clínica deben realizarse bajo los postulados de la Declaración de Helsinki y de las Guías Éticas Internacionales para la Investigación Biomédica en seres humanos, que incluyen, entre otras cosas, la integración de un Comité Ético Científico Independiente, encargado de velar por la seguridad de los participantes y por los principios éticos de la investigación.</w:t>
      </w:r>
    </w:p>
    <w:p w:rsidR="0059423D" w:rsidRPr="003053F5" w:rsidRDefault="0071189E" w:rsidP="003053F5">
      <w:pPr>
        <w:autoSpaceDE w:val="0"/>
        <w:autoSpaceDN w:val="0"/>
        <w:adjustRightInd w:val="0"/>
        <w:jc w:val="both"/>
        <w:rPr>
          <w:rFonts w:ascii="Arial" w:hAnsi="Arial" w:cs="Arial"/>
        </w:rPr>
      </w:pPr>
      <w:r w:rsidRPr="003053F5">
        <w:rPr>
          <w:rFonts w:ascii="Arial" w:hAnsi="Arial" w:cs="Arial"/>
        </w:rPr>
        <w:t>Existe consenso en que la calidad metodológica de los E</w:t>
      </w:r>
      <w:r w:rsidR="008E0AB7" w:rsidRPr="003053F5">
        <w:rPr>
          <w:rFonts w:ascii="Arial" w:hAnsi="Arial" w:cs="Arial"/>
        </w:rPr>
        <w:t xml:space="preserve">nsayos clínicos (EC) </w:t>
      </w:r>
      <w:r w:rsidRPr="003053F5">
        <w:rPr>
          <w:rFonts w:ascii="Arial" w:hAnsi="Arial" w:cs="Arial"/>
        </w:rPr>
        <w:t>consiste precisamente en la observación de los principios</w:t>
      </w:r>
      <w:r w:rsidR="008E0AB7" w:rsidRPr="003053F5">
        <w:rPr>
          <w:rFonts w:ascii="Arial" w:hAnsi="Arial" w:cs="Arial"/>
        </w:rPr>
        <w:t xml:space="preserve"> </w:t>
      </w:r>
      <w:r w:rsidRPr="003053F5">
        <w:rPr>
          <w:rFonts w:ascii="Arial" w:hAnsi="Arial" w:cs="Arial"/>
        </w:rPr>
        <w:t>que le son propios</w:t>
      </w:r>
      <w:r w:rsidR="008E0AB7" w:rsidRPr="003053F5">
        <w:rPr>
          <w:rFonts w:ascii="Arial" w:hAnsi="Arial" w:cs="Arial"/>
        </w:rPr>
        <w:t xml:space="preserve"> (objetividad de la observación, comparación concurrente, enmascaramiento, aleatorización)</w:t>
      </w:r>
      <w:r w:rsidRPr="003053F5">
        <w:rPr>
          <w:rFonts w:ascii="Arial" w:hAnsi="Arial" w:cs="Arial"/>
        </w:rPr>
        <w:t xml:space="preserve">. </w:t>
      </w:r>
      <w:r w:rsidR="008C2D23" w:rsidRPr="003053F5">
        <w:rPr>
          <w:rFonts w:ascii="Arial" w:hAnsi="Arial" w:cs="Arial"/>
        </w:rPr>
        <w:t xml:space="preserve">En función de esto se han diseñado múltiples escalas para evaluar la calidad de los EC, </w:t>
      </w:r>
      <w:r w:rsidR="0059423D" w:rsidRPr="003053F5">
        <w:rPr>
          <w:rFonts w:ascii="Arial" w:hAnsi="Arial" w:cs="Arial"/>
        </w:rPr>
        <w:t xml:space="preserve">siendo una de las </w:t>
      </w:r>
      <w:r w:rsidR="008C2D23" w:rsidRPr="003053F5">
        <w:rPr>
          <w:rFonts w:ascii="Arial" w:hAnsi="Arial" w:cs="Arial"/>
        </w:rPr>
        <w:t>más utilizada la escala de JADAT</w:t>
      </w:r>
      <w:r w:rsidR="0059423D" w:rsidRPr="003053F5">
        <w:rPr>
          <w:rFonts w:ascii="Arial" w:hAnsi="Arial" w:cs="Arial"/>
        </w:rPr>
        <w:t>. Este cuestionario da una puntuación en una escala que va de 0 a 5 puntos, de manera que a mayor puntuación mejor calidad metodológica tiene el ensayo clínico.</w:t>
      </w:r>
    </w:p>
    <w:p w:rsidR="00151B2D" w:rsidRPr="003053F5" w:rsidRDefault="00151B2D" w:rsidP="003053F5">
      <w:pPr>
        <w:autoSpaceDE w:val="0"/>
        <w:autoSpaceDN w:val="0"/>
        <w:adjustRightInd w:val="0"/>
        <w:jc w:val="both"/>
        <w:rPr>
          <w:rFonts w:ascii="Arial" w:hAnsi="Arial" w:cs="Arial"/>
          <w:b/>
        </w:rPr>
      </w:pPr>
    </w:p>
    <w:p w:rsidR="00CF5566" w:rsidRPr="003053F5" w:rsidRDefault="0059423D" w:rsidP="003053F5">
      <w:pPr>
        <w:autoSpaceDE w:val="0"/>
        <w:autoSpaceDN w:val="0"/>
        <w:adjustRightInd w:val="0"/>
        <w:jc w:val="both"/>
        <w:rPr>
          <w:rFonts w:ascii="Arial" w:hAnsi="Arial" w:cs="Arial"/>
          <w:b/>
        </w:rPr>
      </w:pPr>
      <w:r w:rsidRPr="003053F5">
        <w:rPr>
          <w:rFonts w:ascii="Arial" w:hAnsi="Arial" w:cs="Arial"/>
          <w:b/>
        </w:rPr>
        <w:t>ESCALA DE JADAT</w:t>
      </w:r>
      <w:r w:rsidR="008375C0" w:rsidRPr="003053F5">
        <w:rPr>
          <w:rFonts w:ascii="Arial" w:hAnsi="Arial" w:cs="Arial"/>
          <w:b/>
        </w:rPr>
        <w:t xml:space="preserve"> modificada</w:t>
      </w:r>
    </w:p>
    <w:tbl>
      <w:tblPr>
        <w:tblStyle w:val="Tablaconcuadrcula"/>
        <w:tblW w:w="0" w:type="auto"/>
        <w:jc w:val="center"/>
        <w:tblLook w:val="04A0" w:firstRow="1" w:lastRow="0" w:firstColumn="1" w:lastColumn="0" w:noHBand="0" w:noVBand="1"/>
      </w:tblPr>
      <w:tblGrid>
        <w:gridCol w:w="5696"/>
        <w:gridCol w:w="1954"/>
      </w:tblGrid>
      <w:tr w:rsidR="008375C0" w:rsidRPr="003053F5" w:rsidTr="00151B2D">
        <w:trPr>
          <w:jc w:val="center"/>
        </w:trPr>
        <w:tc>
          <w:tcPr>
            <w:tcW w:w="5696" w:type="dxa"/>
          </w:tcPr>
          <w:p w:rsidR="008375C0" w:rsidRPr="003053F5" w:rsidRDefault="008375C0" w:rsidP="003053F5">
            <w:pPr>
              <w:autoSpaceDE w:val="0"/>
              <w:autoSpaceDN w:val="0"/>
              <w:adjustRightInd w:val="0"/>
              <w:jc w:val="both"/>
              <w:rPr>
                <w:rFonts w:ascii="Arial" w:hAnsi="Arial" w:cs="Arial"/>
                <w:b/>
              </w:rPr>
            </w:pPr>
            <w:r w:rsidRPr="003053F5">
              <w:rPr>
                <w:rFonts w:ascii="Arial" w:hAnsi="Arial" w:cs="Arial"/>
                <w:b/>
              </w:rPr>
              <w:t>CRITERIOS</w:t>
            </w:r>
          </w:p>
        </w:tc>
        <w:tc>
          <w:tcPr>
            <w:tcW w:w="1954" w:type="dxa"/>
          </w:tcPr>
          <w:p w:rsidR="008375C0" w:rsidRPr="003053F5" w:rsidRDefault="008375C0" w:rsidP="003053F5">
            <w:pPr>
              <w:autoSpaceDE w:val="0"/>
              <w:autoSpaceDN w:val="0"/>
              <w:adjustRightInd w:val="0"/>
              <w:jc w:val="both"/>
              <w:rPr>
                <w:rFonts w:ascii="Arial" w:hAnsi="Arial" w:cs="Arial"/>
                <w:b/>
              </w:rPr>
            </w:pPr>
            <w:r w:rsidRPr="003053F5">
              <w:rPr>
                <w:rFonts w:ascii="Arial" w:hAnsi="Arial" w:cs="Arial"/>
                <w:b/>
              </w:rPr>
              <w:t>Puntuación</w:t>
            </w:r>
          </w:p>
        </w:tc>
      </w:tr>
      <w:tr w:rsidR="008375C0" w:rsidRPr="003053F5" w:rsidTr="00151B2D">
        <w:trPr>
          <w:jc w:val="center"/>
        </w:trPr>
        <w:tc>
          <w:tcPr>
            <w:tcW w:w="5696" w:type="dxa"/>
          </w:tcPr>
          <w:p w:rsidR="008375C0" w:rsidRPr="003053F5" w:rsidRDefault="008375C0" w:rsidP="003053F5">
            <w:pPr>
              <w:autoSpaceDE w:val="0"/>
              <w:autoSpaceDN w:val="0"/>
              <w:adjustRightInd w:val="0"/>
              <w:jc w:val="both"/>
              <w:rPr>
                <w:rFonts w:ascii="Arial" w:hAnsi="Arial" w:cs="Arial"/>
              </w:rPr>
            </w:pPr>
            <w:r w:rsidRPr="003053F5">
              <w:rPr>
                <w:rFonts w:ascii="Arial" w:hAnsi="Arial" w:cs="Arial"/>
              </w:rPr>
              <w:t>¿Se describe el estudio como aleatorizado?</w:t>
            </w:r>
          </w:p>
        </w:tc>
        <w:tc>
          <w:tcPr>
            <w:tcW w:w="1954" w:type="dxa"/>
            <w:vMerge w:val="restart"/>
            <w:vAlign w:val="center"/>
          </w:tcPr>
          <w:p w:rsidR="008375C0" w:rsidRPr="003053F5" w:rsidRDefault="008375C0" w:rsidP="003053F5">
            <w:pPr>
              <w:autoSpaceDE w:val="0"/>
              <w:autoSpaceDN w:val="0"/>
              <w:adjustRightInd w:val="0"/>
              <w:jc w:val="both"/>
              <w:rPr>
                <w:rFonts w:ascii="Arial" w:hAnsi="Arial" w:cs="Arial"/>
                <w:b/>
              </w:rPr>
            </w:pPr>
            <w:r w:rsidRPr="003053F5">
              <w:rPr>
                <w:rFonts w:ascii="Arial" w:hAnsi="Arial" w:cs="Arial"/>
                <w:b/>
              </w:rPr>
              <w:t>Si=1</w:t>
            </w:r>
          </w:p>
          <w:p w:rsidR="008375C0" w:rsidRPr="003053F5" w:rsidRDefault="008375C0" w:rsidP="003053F5">
            <w:pPr>
              <w:autoSpaceDE w:val="0"/>
              <w:autoSpaceDN w:val="0"/>
              <w:adjustRightInd w:val="0"/>
              <w:jc w:val="both"/>
              <w:rPr>
                <w:rFonts w:ascii="Arial" w:hAnsi="Arial" w:cs="Arial"/>
                <w:b/>
              </w:rPr>
            </w:pPr>
            <w:r w:rsidRPr="003053F5">
              <w:rPr>
                <w:rFonts w:ascii="Arial" w:hAnsi="Arial" w:cs="Arial"/>
                <w:b/>
              </w:rPr>
              <w:t>No=0</w:t>
            </w:r>
          </w:p>
        </w:tc>
      </w:tr>
      <w:tr w:rsidR="008375C0" w:rsidRPr="003053F5" w:rsidTr="00151B2D">
        <w:trPr>
          <w:jc w:val="center"/>
        </w:trPr>
        <w:tc>
          <w:tcPr>
            <w:tcW w:w="5696" w:type="dxa"/>
          </w:tcPr>
          <w:p w:rsidR="008375C0" w:rsidRPr="003053F5" w:rsidRDefault="008375C0" w:rsidP="003053F5">
            <w:pPr>
              <w:autoSpaceDE w:val="0"/>
              <w:autoSpaceDN w:val="0"/>
              <w:adjustRightInd w:val="0"/>
              <w:jc w:val="both"/>
              <w:rPr>
                <w:rFonts w:ascii="Arial" w:hAnsi="Arial" w:cs="Arial"/>
              </w:rPr>
            </w:pPr>
            <w:r w:rsidRPr="003053F5">
              <w:rPr>
                <w:rFonts w:ascii="Arial" w:hAnsi="Arial" w:cs="Arial"/>
              </w:rPr>
              <w:t>¿Se describe el estudio como doble ciego?</w:t>
            </w:r>
          </w:p>
        </w:tc>
        <w:tc>
          <w:tcPr>
            <w:tcW w:w="1954" w:type="dxa"/>
            <w:vMerge/>
          </w:tcPr>
          <w:p w:rsidR="008375C0" w:rsidRPr="003053F5" w:rsidRDefault="008375C0" w:rsidP="003053F5">
            <w:pPr>
              <w:autoSpaceDE w:val="0"/>
              <w:autoSpaceDN w:val="0"/>
              <w:adjustRightInd w:val="0"/>
              <w:jc w:val="both"/>
              <w:rPr>
                <w:rFonts w:ascii="Arial" w:hAnsi="Arial" w:cs="Arial"/>
                <w:b/>
              </w:rPr>
            </w:pPr>
          </w:p>
        </w:tc>
      </w:tr>
      <w:tr w:rsidR="008375C0" w:rsidRPr="003053F5" w:rsidTr="00151B2D">
        <w:trPr>
          <w:jc w:val="center"/>
        </w:trPr>
        <w:tc>
          <w:tcPr>
            <w:tcW w:w="5696" w:type="dxa"/>
          </w:tcPr>
          <w:p w:rsidR="008375C0" w:rsidRPr="003053F5" w:rsidRDefault="008375C0" w:rsidP="003053F5">
            <w:pPr>
              <w:autoSpaceDE w:val="0"/>
              <w:autoSpaceDN w:val="0"/>
              <w:adjustRightInd w:val="0"/>
              <w:jc w:val="both"/>
              <w:rPr>
                <w:rFonts w:ascii="Arial" w:hAnsi="Arial" w:cs="Arial"/>
              </w:rPr>
            </w:pPr>
            <w:r w:rsidRPr="003053F5">
              <w:rPr>
                <w:rFonts w:ascii="Arial" w:hAnsi="Arial" w:cs="Arial"/>
              </w:rPr>
              <w:t>¿Las variables utilizadas pueden considerarse “duras”?</w:t>
            </w:r>
          </w:p>
        </w:tc>
        <w:tc>
          <w:tcPr>
            <w:tcW w:w="1954" w:type="dxa"/>
            <w:vMerge/>
          </w:tcPr>
          <w:p w:rsidR="008375C0" w:rsidRPr="003053F5" w:rsidRDefault="008375C0" w:rsidP="003053F5">
            <w:pPr>
              <w:autoSpaceDE w:val="0"/>
              <w:autoSpaceDN w:val="0"/>
              <w:adjustRightInd w:val="0"/>
              <w:jc w:val="both"/>
              <w:rPr>
                <w:rFonts w:ascii="Arial" w:hAnsi="Arial" w:cs="Arial"/>
                <w:b/>
              </w:rPr>
            </w:pPr>
          </w:p>
        </w:tc>
      </w:tr>
      <w:tr w:rsidR="008375C0" w:rsidRPr="003053F5" w:rsidTr="00151B2D">
        <w:trPr>
          <w:jc w:val="center"/>
        </w:trPr>
        <w:tc>
          <w:tcPr>
            <w:tcW w:w="5696" w:type="dxa"/>
          </w:tcPr>
          <w:p w:rsidR="008375C0" w:rsidRPr="003053F5" w:rsidRDefault="008375C0" w:rsidP="003053F5">
            <w:pPr>
              <w:autoSpaceDE w:val="0"/>
              <w:autoSpaceDN w:val="0"/>
              <w:adjustRightInd w:val="0"/>
              <w:jc w:val="both"/>
              <w:rPr>
                <w:rFonts w:ascii="Arial" w:hAnsi="Arial" w:cs="Arial"/>
              </w:rPr>
            </w:pPr>
            <w:r w:rsidRPr="003053F5">
              <w:rPr>
                <w:rFonts w:ascii="Arial" w:hAnsi="Arial" w:cs="Arial"/>
              </w:rPr>
              <w:t>¿Existe grupo control?</w:t>
            </w:r>
          </w:p>
        </w:tc>
        <w:tc>
          <w:tcPr>
            <w:tcW w:w="1954" w:type="dxa"/>
            <w:vMerge/>
          </w:tcPr>
          <w:p w:rsidR="008375C0" w:rsidRPr="003053F5" w:rsidRDefault="008375C0" w:rsidP="003053F5">
            <w:pPr>
              <w:autoSpaceDE w:val="0"/>
              <w:autoSpaceDN w:val="0"/>
              <w:adjustRightInd w:val="0"/>
              <w:jc w:val="both"/>
              <w:rPr>
                <w:rFonts w:ascii="Arial" w:hAnsi="Arial" w:cs="Arial"/>
                <w:b/>
              </w:rPr>
            </w:pPr>
          </w:p>
        </w:tc>
      </w:tr>
      <w:tr w:rsidR="008375C0" w:rsidRPr="003053F5" w:rsidTr="00151B2D">
        <w:trPr>
          <w:jc w:val="center"/>
        </w:trPr>
        <w:tc>
          <w:tcPr>
            <w:tcW w:w="5696" w:type="dxa"/>
          </w:tcPr>
          <w:p w:rsidR="008375C0" w:rsidRPr="003053F5" w:rsidRDefault="008375C0" w:rsidP="003053F5">
            <w:pPr>
              <w:autoSpaceDE w:val="0"/>
              <w:autoSpaceDN w:val="0"/>
              <w:adjustRightInd w:val="0"/>
              <w:jc w:val="both"/>
              <w:rPr>
                <w:rFonts w:ascii="Arial" w:hAnsi="Arial" w:cs="Arial"/>
              </w:rPr>
            </w:pPr>
            <w:r w:rsidRPr="003053F5">
              <w:rPr>
                <w:rFonts w:ascii="Arial" w:hAnsi="Arial" w:cs="Arial"/>
              </w:rPr>
              <w:t>¿Se describen las intervenciones con detalles suficientes para permitir la replicación?</w:t>
            </w:r>
          </w:p>
        </w:tc>
        <w:tc>
          <w:tcPr>
            <w:tcW w:w="1954" w:type="dxa"/>
            <w:vMerge/>
          </w:tcPr>
          <w:p w:rsidR="008375C0" w:rsidRPr="003053F5" w:rsidRDefault="008375C0" w:rsidP="003053F5">
            <w:pPr>
              <w:autoSpaceDE w:val="0"/>
              <w:autoSpaceDN w:val="0"/>
              <w:adjustRightInd w:val="0"/>
              <w:jc w:val="both"/>
              <w:rPr>
                <w:rFonts w:ascii="Arial" w:hAnsi="Arial" w:cs="Arial"/>
                <w:b/>
              </w:rPr>
            </w:pPr>
          </w:p>
        </w:tc>
      </w:tr>
      <w:tr w:rsidR="00151B2D" w:rsidRPr="003053F5" w:rsidTr="00151B2D">
        <w:trPr>
          <w:jc w:val="center"/>
        </w:trPr>
        <w:tc>
          <w:tcPr>
            <w:tcW w:w="7650" w:type="dxa"/>
            <w:gridSpan w:val="2"/>
          </w:tcPr>
          <w:p w:rsidR="00151B2D" w:rsidRPr="003053F5" w:rsidRDefault="00151B2D" w:rsidP="003053F5">
            <w:pPr>
              <w:autoSpaceDE w:val="0"/>
              <w:autoSpaceDN w:val="0"/>
              <w:adjustRightInd w:val="0"/>
              <w:jc w:val="both"/>
              <w:rPr>
                <w:rFonts w:ascii="Arial" w:hAnsi="Arial" w:cs="Arial"/>
                <w:b/>
              </w:rPr>
            </w:pPr>
            <w:r w:rsidRPr="003053F5">
              <w:rPr>
                <w:rFonts w:ascii="Arial" w:hAnsi="Arial" w:cs="Arial"/>
                <w:b/>
              </w:rPr>
              <w:t>&lt;3= Baja calidad| 3 = Calidad media| 4= Calidad alta |5=Calidad Muy alta</w:t>
            </w:r>
          </w:p>
        </w:tc>
      </w:tr>
    </w:tbl>
    <w:p w:rsidR="00D60C7C" w:rsidRPr="003053F5" w:rsidRDefault="00D60C7C" w:rsidP="003053F5">
      <w:pPr>
        <w:autoSpaceDE w:val="0"/>
        <w:autoSpaceDN w:val="0"/>
        <w:adjustRightInd w:val="0"/>
        <w:jc w:val="both"/>
        <w:rPr>
          <w:rFonts w:ascii="Arial" w:hAnsi="Arial" w:cs="Arial"/>
          <w:b/>
        </w:rPr>
      </w:pPr>
    </w:p>
    <w:p w:rsidR="004247EC" w:rsidRPr="003053F5" w:rsidRDefault="004247EC" w:rsidP="003053F5">
      <w:pPr>
        <w:autoSpaceDE w:val="0"/>
        <w:autoSpaceDN w:val="0"/>
        <w:adjustRightInd w:val="0"/>
        <w:jc w:val="both"/>
        <w:rPr>
          <w:rFonts w:ascii="Arial" w:hAnsi="Arial" w:cs="Arial"/>
          <w:b/>
        </w:rPr>
      </w:pPr>
    </w:p>
    <w:p w:rsidR="006C674C" w:rsidRPr="003053F5" w:rsidRDefault="006C674C" w:rsidP="003053F5">
      <w:pPr>
        <w:ind w:right="-1652"/>
        <w:jc w:val="both"/>
        <w:rPr>
          <w:rFonts w:ascii="Arial" w:hAnsi="Arial" w:cs="Arial"/>
          <w:b/>
          <w:i/>
        </w:rPr>
      </w:pPr>
      <w:r w:rsidRPr="003053F5">
        <w:rPr>
          <w:rFonts w:ascii="Arial" w:hAnsi="Arial" w:cs="Arial"/>
          <w:b/>
        </w:rPr>
        <w:t>BIBLIOGRAFÍA</w:t>
      </w:r>
    </w:p>
    <w:p w:rsidR="006C674C" w:rsidRPr="003053F5" w:rsidRDefault="006C674C" w:rsidP="003053F5">
      <w:pPr>
        <w:numPr>
          <w:ilvl w:val="0"/>
          <w:numId w:val="6"/>
        </w:numPr>
        <w:ind w:right="-1652"/>
        <w:jc w:val="both"/>
        <w:rPr>
          <w:rFonts w:ascii="Arial" w:hAnsi="Arial" w:cs="Arial"/>
          <w:i/>
        </w:rPr>
      </w:pPr>
      <w:r w:rsidRPr="003053F5">
        <w:rPr>
          <w:rFonts w:ascii="Arial" w:hAnsi="Arial" w:cs="Arial"/>
        </w:rPr>
        <w:t>Conferencia</w:t>
      </w:r>
      <w:bookmarkStart w:id="0" w:name="_GoBack"/>
      <w:bookmarkEnd w:id="0"/>
    </w:p>
    <w:p w:rsidR="006C674C" w:rsidRPr="003053F5" w:rsidRDefault="006C674C" w:rsidP="003053F5">
      <w:pPr>
        <w:numPr>
          <w:ilvl w:val="0"/>
          <w:numId w:val="6"/>
        </w:numPr>
        <w:ind w:right="-1652"/>
        <w:jc w:val="both"/>
        <w:rPr>
          <w:rFonts w:ascii="Arial" w:hAnsi="Arial" w:cs="Arial"/>
          <w:i/>
        </w:rPr>
      </w:pPr>
      <w:r w:rsidRPr="003053F5">
        <w:rPr>
          <w:rFonts w:ascii="Arial" w:hAnsi="Arial" w:cs="Arial"/>
        </w:rPr>
        <w:t xml:space="preserve">Farmacología general (Morón-Levy) cap. 5 Fundamentos de los ensayos clínicos </w:t>
      </w:r>
      <w:proofErr w:type="spellStart"/>
      <w:r w:rsidRPr="003053F5">
        <w:rPr>
          <w:rFonts w:ascii="Arial" w:hAnsi="Arial" w:cs="Arial"/>
        </w:rPr>
        <w:t>pag</w:t>
      </w:r>
      <w:proofErr w:type="spellEnd"/>
      <w:r w:rsidRPr="003053F5">
        <w:rPr>
          <w:rFonts w:ascii="Arial" w:hAnsi="Arial" w:cs="Arial"/>
        </w:rPr>
        <w:t xml:space="preserve"> 44</w:t>
      </w:r>
    </w:p>
    <w:p w:rsidR="006C674C" w:rsidRPr="003053F5" w:rsidRDefault="006C674C" w:rsidP="003053F5">
      <w:pPr>
        <w:autoSpaceDE w:val="0"/>
        <w:autoSpaceDN w:val="0"/>
        <w:adjustRightInd w:val="0"/>
        <w:jc w:val="both"/>
        <w:rPr>
          <w:rFonts w:ascii="Arial" w:hAnsi="Arial" w:cs="Arial"/>
        </w:rPr>
      </w:pPr>
      <w:r w:rsidRPr="003053F5">
        <w:rPr>
          <w:rFonts w:ascii="Arial" w:hAnsi="Arial" w:cs="Arial"/>
        </w:rPr>
        <w:t xml:space="preserve">Las bases farmacológicas de la terapéutica (Goodman y </w:t>
      </w:r>
      <w:proofErr w:type="spellStart"/>
      <w:r w:rsidRPr="003053F5">
        <w:rPr>
          <w:rFonts w:ascii="Arial" w:hAnsi="Arial" w:cs="Arial"/>
        </w:rPr>
        <w:t>Gilman</w:t>
      </w:r>
      <w:proofErr w:type="spellEnd"/>
      <w:r w:rsidRPr="003053F5">
        <w:rPr>
          <w:rFonts w:ascii="Arial" w:hAnsi="Arial" w:cs="Arial"/>
        </w:rPr>
        <w:t xml:space="preserve">. 13ava edición en español, 2019). </w:t>
      </w:r>
      <w:proofErr w:type="spellStart"/>
      <w:r w:rsidRPr="003053F5">
        <w:rPr>
          <w:rFonts w:ascii="Arial" w:hAnsi="Arial" w:cs="Arial"/>
        </w:rPr>
        <w:t>Cap</w:t>
      </w:r>
      <w:proofErr w:type="spellEnd"/>
      <w:r w:rsidRPr="003053F5">
        <w:rPr>
          <w:rFonts w:ascii="Arial" w:hAnsi="Arial" w:cs="Arial"/>
        </w:rPr>
        <w:t xml:space="preserve"> 1 “La invención de fármacos y la industria farmacéutica” </w:t>
      </w:r>
      <w:proofErr w:type="spellStart"/>
      <w:r w:rsidRPr="003053F5">
        <w:rPr>
          <w:rFonts w:ascii="Arial" w:hAnsi="Arial" w:cs="Arial"/>
        </w:rPr>
        <w:t>pag</w:t>
      </w:r>
      <w:proofErr w:type="spellEnd"/>
      <w:r w:rsidRPr="003053F5">
        <w:rPr>
          <w:rFonts w:ascii="Arial" w:hAnsi="Arial" w:cs="Arial"/>
        </w:rPr>
        <w:t xml:space="preserve"> 3-12 </w:t>
      </w:r>
    </w:p>
    <w:p w:rsidR="006C674C" w:rsidRPr="003053F5" w:rsidRDefault="006C674C" w:rsidP="003053F5">
      <w:pPr>
        <w:autoSpaceDE w:val="0"/>
        <w:autoSpaceDN w:val="0"/>
        <w:adjustRightInd w:val="0"/>
        <w:jc w:val="both"/>
        <w:rPr>
          <w:rFonts w:ascii="Arial" w:hAnsi="Arial" w:cs="Arial"/>
        </w:rPr>
      </w:pPr>
    </w:p>
    <w:p w:rsidR="00361365" w:rsidRDefault="00361365" w:rsidP="003053F5">
      <w:pPr>
        <w:autoSpaceDE w:val="0"/>
        <w:autoSpaceDN w:val="0"/>
        <w:adjustRightInd w:val="0"/>
        <w:jc w:val="both"/>
        <w:rPr>
          <w:rFonts w:ascii="Arial" w:hAnsi="Arial" w:cs="Arial"/>
          <w:b/>
        </w:rPr>
      </w:pPr>
      <w:r w:rsidRPr="003053F5">
        <w:rPr>
          <w:rFonts w:ascii="Arial" w:hAnsi="Arial" w:cs="Arial"/>
          <w:b/>
        </w:rPr>
        <w:t>TAREAS</w:t>
      </w:r>
    </w:p>
    <w:p w:rsidR="00BA3897" w:rsidRPr="003053F5" w:rsidRDefault="00BA3897" w:rsidP="003053F5">
      <w:pPr>
        <w:autoSpaceDE w:val="0"/>
        <w:autoSpaceDN w:val="0"/>
        <w:adjustRightInd w:val="0"/>
        <w:jc w:val="both"/>
        <w:rPr>
          <w:rFonts w:ascii="Arial" w:hAnsi="Arial" w:cs="Arial"/>
          <w:b/>
        </w:rPr>
      </w:pPr>
    </w:p>
    <w:p w:rsidR="00BA3897" w:rsidRPr="00BA3897" w:rsidRDefault="00BA3897" w:rsidP="003053F5">
      <w:pPr>
        <w:autoSpaceDE w:val="0"/>
        <w:autoSpaceDN w:val="0"/>
        <w:adjustRightInd w:val="0"/>
        <w:jc w:val="both"/>
        <w:rPr>
          <w:rFonts w:ascii="Arial" w:hAnsi="Arial" w:cs="Arial"/>
          <w:b/>
          <w:u w:val="single"/>
        </w:rPr>
      </w:pPr>
      <w:r w:rsidRPr="00BA3897">
        <w:rPr>
          <w:rFonts w:ascii="Arial" w:hAnsi="Arial" w:cs="Arial"/>
          <w:b/>
          <w:u w:val="single"/>
        </w:rPr>
        <w:t>Preguntas de autoevaluación:</w:t>
      </w:r>
    </w:p>
    <w:p w:rsidR="00BA3897" w:rsidRDefault="00BA3897" w:rsidP="003053F5">
      <w:pPr>
        <w:autoSpaceDE w:val="0"/>
        <w:autoSpaceDN w:val="0"/>
        <w:adjustRightInd w:val="0"/>
        <w:jc w:val="both"/>
        <w:rPr>
          <w:rFonts w:ascii="Arial" w:hAnsi="Arial" w:cs="Arial"/>
        </w:rPr>
      </w:pPr>
    </w:p>
    <w:p w:rsidR="00BA3897" w:rsidRPr="00BA3897" w:rsidRDefault="00BA3897" w:rsidP="00BA3897">
      <w:pPr>
        <w:autoSpaceDE w:val="0"/>
        <w:autoSpaceDN w:val="0"/>
        <w:adjustRightInd w:val="0"/>
        <w:jc w:val="both"/>
        <w:rPr>
          <w:rFonts w:ascii="Arial" w:hAnsi="Arial" w:cs="Arial"/>
        </w:rPr>
      </w:pPr>
      <w:r w:rsidRPr="00BA3897">
        <w:rPr>
          <w:rFonts w:ascii="Arial" w:hAnsi="Arial" w:cs="Arial"/>
        </w:rPr>
        <w:t>1.</w:t>
      </w:r>
      <w:r w:rsidRPr="00BA3897">
        <w:rPr>
          <w:rFonts w:ascii="Arial" w:hAnsi="Arial" w:cs="Arial"/>
        </w:rPr>
        <w:tab/>
        <w:t>Señale verdadero (V) o falso (F):</w:t>
      </w:r>
    </w:p>
    <w:p w:rsidR="00BA3897" w:rsidRPr="00BA3897" w:rsidRDefault="00BA3897" w:rsidP="00BA3897">
      <w:pPr>
        <w:autoSpaceDE w:val="0"/>
        <w:autoSpaceDN w:val="0"/>
        <w:adjustRightInd w:val="0"/>
        <w:jc w:val="both"/>
        <w:rPr>
          <w:rFonts w:ascii="Arial" w:hAnsi="Arial" w:cs="Arial"/>
        </w:rPr>
      </w:pPr>
      <w:r w:rsidRPr="00BA3897">
        <w:rPr>
          <w:rFonts w:ascii="Arial" w:hAnsi="Arial" w:cs="Arial"/>
        </w:rPr>
        <w:t>__ Un ensayo clínico a simple ciego es aquella técnica de investigación en la que tanto los pacientes como los investigadores desconocen el tratamiento que corresponde a cada individuo.</w:t>
      </w:r>
    </w:p>
    <w:p w:rsidR="00BA3897" w:rsidRPr="00BA3897" w:rsidRDefault="00BA3897" w:rsidP="00BA3897">
      <w:pPr>
        <w:autoSpaceDE w:val="0"/>
        <w:autoSpaceDN w:val="0"/>
        <w:adjustRightInd w:val="0"/>
        <w:jc w:val="both"/>
        <w:rPr>
          <w:rFonts w:ascii="Arial" w:hAnsi="Arial" w:cs="Arial"/>
        </w:rPr>
      </w:pPr>
      <w:r w:rsidRPr="00BA3897">
        <w:rPr>
          <w:rFonts w:ascii="Arial" w:hAnsi="Arial" w:cs="Arial"/>
        </w:rPr>
        <w:t>__ La fase I del ensayo clínico dura entre 8 y 9 meses aproximadamente.</w:t>
      </w:r>
    </w:p>
    <w:p w:rsidR="00BA3897" w:rsidRPr="00BA3897" w:rsidRDefault="00BA3897" w:rsidP="00BA3897">
      <w:pPr>
        <w:autoSpaceDE w:val="0"/>
        <w:autoSpaceDN w:val="0"/>
        <w:adjustRightInd w:val="0"/>
        <w:jc w:val="both"/>
        <w:rPr>
          <w:rFonts w:ascii="Arial" w:hAnsi="Arial" w:cs="Arial"/>
        </w:rPr>
      </w:pPr>
      <w:r w:rsidRPr="00BA3897">
        <w:rPr>
          <w:rFonts w:ascii="Arial" w:hAnsi="Arial" w:cs="Arial"/>
        </w:rPr>
        <w:lastRenderedPageBreak/>
        <w:t>__ La asignación aleatoria de los tratamientos asegura que los grupos sean comparables en todas las características excepto en la intervención recibida.</w:t>
      </w:r>
    </w:p>
    <w:p w:rsidR="00BA3897" w:rsidRPr="00BA3897" w:rsidRDefault="00BA3897" w:rsidP="00BA3897">
      <w:pPr>
        <w:autoSpaceDE w:val="0"/>
        <w:autoSpaceDN w:val="0"/>
        <w:adjustRightInd w:val="0"/>
        <w:jc w:val="both"/>
        <w:rPr>
          <w:rFonts w:ascii="Arial" w:hAnsi="Arial" w:cs="Arial"/>
        </w:rPr>
      </w:pPr>
      <w:r w:rsidRPr="00BA3897">
        <w:rPr>
          <w:rFonts w:ascii="Arial" w:hAnsi="Arial" w:cs="Arial"/>
        </w:rPr>
        <w:t>__ Se conoce como regresión a la media la tendencia de los pacientes evaluados a dar una respuesta acorde con lo que ellos esperan o de ellos se espera.</w:t>
      </w:r>
    </w:p>
    <w:p w:rsidR="00BA3897" w:rsidRPr="00BA3897" w:rsidRDefault="00BA3897" w:rsidP="00BA3897">
      <w:pPr>
        <w:autoSpaceDE w:val="0"/>
        <w:autoSpaceDN w:val="0"/>
        <w:adjustRightInd w:val="0"/>
        <w:jc w:val="both"/>
        <w:rPr>
          <w:rFonts w:ascii="Arial" w:hAnsi="Arial" w:cs="Arial"/>
        </w:rPr>
      </w:pPr>
      <w:r w:rsidRPr="00BA3897">
        <w:rPr>
          <w:rFonts w:ascii="Arial" w:hAnsi="Arial" w:cs="Arial"/>
        </w:rPr>
        <w:t>__ Un placebo es un preparado con sustancias farmacológicamente activas</w:t>
      </w:r>
      <w:r w:rsidR="00D279B5">
        <w:rPr>
          <w:rFonts w:ascii="Arial" w:hAnsi="Arial" w:cs="Arial"/>
        </w:rPr>
        <w:t>,</w:t>
      </w:r>
      <w:r w:rsidRPr="00BA3897">
        <w:rPr>
          <w:rFonts w:ascii="Arial" w:hAnsi="Arial" w:cs="Arial"/>
        </w:rPr>
        <w:t xml:space="preserve"> pero de apariencia y otras características organolépticas diferente que el preparado de experimentación.</w:t>
      </w:r>
    </w:p>
    <w:p w:rsidR="00BA3897" w:rsidRPr="00BA3897" w:rsidRDefault="00BA3897" w:rsidP="00BA3897">
      <w:pPr>
        <w:autoSpaceDE w:val="0"/>
        <w:autoSpaceDN w:val="0"/>
        <w:adjustRightInd w:val="0"/>
        <w:jc w:val="both"/>
        <w:rPr>
          <w:rFonts w:ascii="Arial" w:hAnsi="Arial" w:cs="Arial"/>
        </w:rPr>
      </w:pPr>
    </w:p>
    <w:p w:rsidR="00BA3897" w:rsidRPr="00BA3897" w:rsidRDefault="00BA3897" w:rsidP="00BA3897">
      <w:pPr>
        <w:autoSpaceDE w:val="0"/>
        <w:autoSpaceDN w:val="0"/>
        <w:adjustRightInd w:val="0"/>
        <w:jc w:val="both"/>
        <w:rPr>
          <w:rFonts w:ascii="Arial" w:hAnsi="Arial" w:cs="Arial"/>
        </w:rPr>
      </w:pPr>
      <w:r w:rsidRPr="00BA3897">
        <w:rPr>
          <w:rFonts w:ascii="Arial" w:hAnsi="Arial" w:cs="Arial"/>
        </w:rPr>
        <w:t>2.</w:t>
      </w:r>
      <w:r w:rsidRPr="00BA3897">
        <w:rPr>
          <w:rFonts w:ascii="Arial" w:hAnsi="Arial" w:cs="Arial"/>
        </w:rPr>
        <w:tab/>
        <w:t>Señale verdadero (V) o falso (F):</w:t>
      </w:r>
    </w:p>
    <w:p w:rsidR="00BA3897" w:rsidRPr="00BA3897" w:rsidRDefault="00BA3897" w:rsidP="00BA3897">
      <w:pPr>
        <w:pStyle w:val="Prrafodelista"/>
        <w:numPr>
          <w:ilvl w:val="0"/>
          <w:numId w:val="7"/>
        </w:numPr>
        <w:autoSpaceDE w:val="0"/>
        <w:autoSpaceDN w:val="0"/>
        <w:adjustRightInd w:val="0"/>
        <w:jc w:val="both"/>
        <w:rPr>
          <w:rFonts w:ascii="Arial" w:hAnsi="Arial" w:cs="Arial"/>
        </w:rPr>
      </w:pPr>
      <w:r w:rsidRPr="00BA3897">
        <w:rPr>
          <w:rFonts w:ascii="Arial" w:hAnsi="Arial" w:cs="Arial"/>
        </w:rPr>
        <w:t>Se conoce como __________ el fenómeno en que los pacientes seleccionados por presentar un valor extremo de una distribución tenderán, por término medio, a presentar valores menos extremos en mediciones subsiguientes.</w:t>
      </w:r>
    </w:p>
    <w:p w:rsidR="00BA3897" w:rsidRPr="00BA3897" w:rsidRDefault="00BA3897" w:rsidP="00BA3897">
      <w:pPr>
        <w:pStyle w:val="Prrafodelista"/>
        <w:numPr>
          <w:ilvl w:val="0"/>
          <w:numId w:val="7"/>
        </w:numPr>
        <w:autoSpaceDE w:val="0"/>
        <w:autoSpaceDN w:val="0"/>
        <w:adjustRightInd w:val="0"/>
        <w:jc w:val="both"/>
        <w:rPr>
          <w:rFonts w:ascii="Arial" w:hAnsi="Arial" w:cs="Arial"/>
        </w:rPr>
      </w:pPr>
      <w:r w:rsidRPr="00BA3897">
        <w:rPr>
          <w:rFonts w:ascii="Arial" w:hAnsi="Arial" w:cs="Arial"/>
        </w:rPr>
        <w:t>La fase ________ del ensayo clínico se realiza en voluntarios sanos y constituye la primera administración de un medicamento al ser humano.</w:t>
      </w:r>
    </w:p>
    <w:p w:rsidR="00BA3897" w:rsidRPr="00BA3897" w:rsidRDefault="00BA3897" w:rsidP="00BA3897">
      <w:pPr>
        <w:pStyle w:val="Prrafodelista"/>
        <w:numPr>
          <w:ilvl w:val="0"/>
          <w:numId w:val="7"/>
        </w:numPr>
        <w:autoSpaceDE w:val="0"/>
        <w:autoSpaceDN w:val="0"/>
        <w:adjustRightInd w:val="0"/>
        <w:jc w:val="both"/>
        <w:rPr>
          <w:rFonts w:ascii="Arial" w:hAnsi="Arial" w:cs="Arial"/>
        </w:rPr>
      </w:pPr>
      <w:r w:rsidRPr="00BA3897">
        <w:rPr>
          <w:rFonts w:ascii="Arial" w:hAnsi="Arial" w:cs="Arial"/>
        </w:rPr>
        <w:t>El término __________ se utiliza para señalar la importancia de los efectos nocivos del placebo.</w:t>
      </w:r>
    </w:p>
    <w:p w:rsidR="00BA3897" w:rsidRPr="00BA3897" w:rsidRDefault="00BA3897" w:rsidP="00BA3897">
      <w:pPr>
        <w:pStyle w:val="Prrafodelista"/>
        <w:numPr>
          <w:ilvl w:val="0"/>
          <w:numId w:val="7"/>
        </w:numPr>
        <w:autoSpaceDE w:val="0"/>
        <w:autoSpaceDN w:val="0"/>
        <w:adjustRightInd w:val="0"/>
        <w:jc w:val="both"/>
        <w:rPr>
          <w:rFonts w:ascii="Arial" w:hAnsi="Arial" w:cs="Arial"/>
        </w:rPr>
      </w:pPr>
      <w:r w:rsidRPr="00BA3897">
        <w:rPr>
          <w:rFonts w:ascii="Arial" w:hAnsi="Arial" w:cs="Arial"/>
        </w:rPr>
        <w:t>Los ensayos ___________ son aquellos que se realizan en un solo centro asistencial o de investigación.</w:t>
      </w:r>
    </w:p>
    <w:p w:rsidR="00BA3897" w:rsidRPr="00BA3897" w:rsidRDefault="00BA3897" w:rsidP="00BA3897">
      <w:pPr>
        <w:pStyle w:val="Prrafodelista"/>
        <w:numPr>
          <w:ilvl w:val="0"/>
          <w:numId w:val="7"/>
        </w:numPr>
        <w:autoSpaceDE w:val="0"/>
        <w:autoSpaceDN w:val="0"/>
        <w:adjustRightInd w:val="0"/>
        <w:jc w:val="both"/>
        <w:rPr>
          <w:rFonts w:ascii="Arial" w:hAnsi="Arial" w:cs="Arial"/>
        </w:rPr>
      </w:pPr>
      <w:r w:rsidRPr="00BA3897">
        <w:rPr>
          <w:rFonts w:ascii="Arial" w:hAnsi="Arial" w:cs="Arial"/>
        </w:rPr>
        <w:t>Los estudios de efectividad y seguridad en grupos especiales y en condiciones reales de la práctica clínica se realizan en la Fase ______ del ensayo clínico.</w:t>
      </w:r>
    </w:p>
    <w:p w:rsidR="00BA3897" w:rsidRDefault="00BA3897" w:rsidP="00BA3897">
      <w:pPr>
        <w:autoSpaceDE w:val="0"/>
        <w:autoSpaceDN w:val="0"/>
        <w:adjustRightInd w:val="0"/>
        <w:jc w:val="both"/>
        <w:rPr>
          <w:rFonts w:ascii="Arial" w:hAnsi="Arial" w:cs="Arial"/>
        </w:rPr>
      </w:pPr>
    </w:p>
    <w:p w:rsidR="00361365" w:rsidRPr="003053F5" w:rsidRDefault="00BA3897" w:rsidP="00BA3897">
      <w:pPr>
        <w:autoSpaceDE w:val="0"/>
        <w:autoSpaceDN w:val="0"/>
        <w:adjustRightInd w:val="0"/>
        <w:jc w:val="both"/>
        <w:rPr>
          <w:rFonts w:ascii="Arial" w:hAnsi="Arial" w:cs="Arial"/>
        </w:rPr>
      </w:pPr>
      <w:r>
        <w:rPr>
          <w:rFonts w:ascii="Arial" w:hAnsi="Arial" w:cs="Arial"/>
        </w:rPr>
        <w:t xml:space="preserve">3. </w:t>
      </w:r>
      <w:r w:rsidR="00361365" w:rsidRPr="003053F5">
        <w:rPr>
          <w:rFonts w:ascii="Arial" w:hAnsi="Arial" w:cs="Arial"/>
        </w:rPr>
        <w:t xml:space="preserve">De Acuerdo a sus conocimientos sobre </w:t>
      </w:r>
      <w:r w:rsidR="00361365" w:rsidRPr="003053F5">
        <w:rPr>
          <w:rFonts w:ascii="Arial" w:hAnsi="Arial" w:cs="Arial"/>
          <w:b/>
        </w:rPr>
        <w:t>Ensayos clínicos</w:t>
      </w:r>
      <w:r w:rsidR="00361365" w:rsidRPr="003053F5">
        <w:rPr>
          <w:rFonts w:ascii="Arial" w:hAnsi="Arial" w:cs="Arial"/>
        </w:rPr>
        <w:t>, analice las siguientes situaciones y responda las preguntas en ca</w:t>
      </w:r>
      <w:r w:rsidR="007B690D" w:rsidRPr="003053F5">
        <w:rPr>
          <w:rFonts w:ascii="Arial" w:hAnsi="Arial" w:cs="Arial"/>
        </w:rPr>
        <w:t>d</w:t>
      </w:r>
      <w:r w:rsidR="00361365" w:rsidRPr="003053F5">
        <w:rPr>
          <w:rFonts w:ascii="Arial" w:hAnsi="Arial" w:cs="Arial"/>
        </w:rPr>
        <w:t>a caso.</w:t>
      </w:r>
    </w:p>
    <w:p w:rsidR="00361365" w:rsidRPr="003053F5" w:rsidRDefault="00361365" w:rsidP="003053F5">
      <w:pPr>
        <w:jc w:val="both"/>
        <w:rPr>
          <w:rFonts w:ascii="Arial" w:hAnsi="Arial" w:cs="Arial"/>
          <w:b/>
        </w:rPr>
      </w:pPr>
    </w:p>
    <w:p w:rsidR="00CC6A07" w:rsidRPr="003053F5" w:rsidRDefault="004A4B8E" w:rsidP="003053F5">
      <w:pPr>
        <w:jc w:val="both"/>
        <w:rPr>
          <w:rFonts w:ascii="Arial" w:hAnsi="Arial" w:cs="Arial"/>
          <w:b/>
          <w:lang w:val="es-ES_tradnl"/>
        </w:rPr>
      </w:pPr>
      <w:r w:rsidRPr="003053F5">
        <w:rPr>
          <w:rFonts w:ascii="Arial" w:hAnsi="Arial" w:cs="Arial"/>
          <w:b/>
          <w:lang w:val="es-ES_tradnl"/>
        </w:rPr>
        <w:t>SITUACIONES PROBLEMAS</w:t>
      </w:r>
    </w:p>
    <w:p w:rsidR="00361365" w:rsidRPr="003053F5" w:rsidRDefault="00361365" w:rsidP="003053F5">
      <w:pPr>
        <w:jc w:val="both"/>
        <w:rPr>
          <w:rFonts w:ascii="Arial" w:hAnsi="Arial" w:cs="Arial"/>
          <w:b/>
          <w:u w:val="single"/>
          <w:lang w:val="es-ES_tradnl"/>
        </w:rPr>
      </w:pPr>
    </w:p>
    <w:p w:rsidR="00CC6A07" w:rsidRPr="003053F5" w:rsidRDefault="00CC6A07" w:rsidP="003053F5">
      <w:pPr>
        <w:jc w:val="both"/>
        <w:rPr>
          <w:rFonts w:ascii="Arial" w:hAnsi="Arial" w:cs="Arial"/>
          <w:b/>
          <w:u w:val="single"/>
          <w:lang w:val="es-ES_tradnl"/>
        </w:rPr>
      </w:pPr>
      <w:r w:rsidRPr="003053F5">
        <w:rPr>
          <w:rFonts w:ascii="Arial" w:hAnsi="Arial" w:cs="Arial"/>
          <w:b/>
          <w:u w:val="single"/>
          <w:lang w:val="es-ES_tradnl"/>
        </w:rPr>
        <w:t>SITUACIÓN 1</w:t>
      </w:r>
    </w:p>
    <w:p w:rsidR="00CC6A07" w:rsidRPr="003053F5" w:rsidRDefault="00CC6A07" w:rsidP="003053F5">
      <w:pPr>
        <w:jc w:val="both"/>
        <w:rPr>
          <w:rFonts w:ascii="Arial" w:hAnsi="Arial" w:cs="Arial"/>
          <w:b/>
          <w:lang w:val="es-ES_tradnl"/>
        </w:rPr>
      </w:pPr>
    </w:p>
    <w:p w:rsidR="007627E0" w:rsidRPr="003053F5" w:rsidRDefault="000943C2" w:rsidP="003053F5">
      <w:pPr>
        <w:jc w:val="both"/>
        <w:rPr>
          <w:rFonts w:ascii="Arial" w:hAnsi="Arial" w:cs="Arial"/>
          <w:lang w:val="es-ES_tradnl"/>
        </w:rPr>
      </w:pPr>
      <w:r w:rsidRPr="003053F5">
        <w:rPr>
          <w:rFonts w:ascii="Arial" w:hAnsi="Arial" w:cs="Arial"/>
          <w:b/>
          <w:lang w:val="es-ES_tradnl"/>
        </w:rPr>
        <w:t>TOSEKURA</w:t>
      </w:r>
      <w:r w:rsidR="004B657A" w:rsidRPr="003053F5">
        <w:rPr>
          <w:rFonts w:ascii="Arial" w:hAnsi="Arial" w:cs="Arial"/>
          <w:b/>
          <w:lang w:val="es-ES_tradnl"/>
        </w:rPr>
        <w:t xml:space="preserve"> </w:t>
      </w:r>
      <w:r w:rsidR="004B657A" w:rsidRPr="003053F5">
        <w:rPr>
          <w:rFonts w:ascii="Arial" w:hAnsi="Arial" w:cs="Arial"/>
          <w:lang w:val="es-ES_tradnl"/>
        </w:rPr>
        <w:t>(</w:t>
      </w:r>
      <w:r w:rsidRPr="003053F5">
        <w:rPr>
          <w:rFonts w:ascii="Arial" w:hAnsi="Arial" w:cs="Arial"/>
          <w:lang w:val="es-ES_tradnl"/>
        </w:rPr>
        <w:t>Clínica japonesa</w:t>
      </w:r>
      <w:r w:rsidR="004B657A" w:rsidRPr="003053F5">
        <w:rPr>
          <w:rFonts w:ascii="Arial" w:hAnsi="Arial" w:cs="Arial"/>
          <w:lang w:val="es-ES_tradnl"/>
        </w:rPr>
        <w:t>)</w:t>
      </w:r>
    </w:p>
    <w:p w:rsidR="00A730F4" w:rsidRPr="003053F5" w:rsidRDefault="000943C2" w:rsidP="003053F5">
      <w:pPr>
        <w:jc w:val="both"/>
        <w:rPr>
          <w:rFonts w:ascii="Arial" w:hAnsi="Arial" w:cs="Arial"/>
          <w:lang w:val="es-ES_tradnl"/>
        </w:rPr>
      </w:pPr>
      <w:r w:rsidRPr="003053F5">
        <w:rPr>
          <w:rFonts w:ascii="Arial" w:hAnsi="Arial" w:cs="Arial"/>
          <w:lang w:val="es-ES_tradnl"/>
        </w:rPr>
        <w:t xml:space="preserve">Se quiere </w:t>
      </w:r>
      <w:r w:rsidR="00363536" w:rsidRPr="003053F5">
        <w:rPr>
          <w:rFonts w:ascii="Arial" w:hAnsi="Arial" w:cs="Arial"/>
          <w:lang w:val="es-ES_tradnl"/>
        </w:rPr>
        <w:t>probar que el</w:t>
      </w:r>
      <w:r w:rsidRPr="003053F5">
        <w:rPr>
          <w:rFonts w:ascii="Arial" w:hAnsi="Arial" w:cs="Arial"/>
          <w:lang w:val="es-ES_tradnl"/>
        </w:rPr>
        <w:t xml:space="preserve"> medicamento </w:t>
      </w:r>
      <w:proofErr w:type="spellStart"/>
      <w:r w:rsidR="00CC6A07" w:rsidRPr="003053F5">
        <w:rPr>
          <w:rFonts w:ascii="Arial" w:hAnsi="Arial" w:cs="Arial"/>
          <w:b/>
          <w:i/>
          <w:lang w:val="es-ES_tradnl"/>
        </w:rPr>
        <w:t>Notaebrio</w:t>
      </w:r>
      <w:proofErr w:type="spellEnd"/>
      <w:r w:rsidR="00363536" w:rsidRPr="003053F5">
        <w:rPr>
          <w:rFonts w:ascii="Arial" w:hAnsi="Arial" w:cs="Arial"/>
          <w:lang w:val="es-ES_tradnl"/>
        </w:rPr>
        <w:t xml:space="preserve">, en el mercado desde hace 15 años, utilizado </w:t>
      </w:r>
      <w:r w:rsidRPr="003053F5">
        <w:rPr>
          <w:rFonts w:ascii="Arial" w:hAnsi="Arial" w:cs="Arial"/>
          <w:lang w:val="es-ES_tradnl"/>
        </w:rPr>
        <w:t>para el tratamiento del alcoholismo</w:t>
      </w:r>
      <w:r w:rsidR="00363536" w:rsidRPr="003053F5">
        <w:rPr>
          <w:rFonts w:ascii="Arial" w:hAnsi="Arial" w:cs="Arial"/>
          <w:lang w:val="es-ES_tradnl"/>
        </w:rPr>
        <w:t xml:space="preserve"> por vía oral en forma de tabletas revestidas, es útil también para tratar </w:t>
      </w:r>
      <w:proofErr w:type="gramStart"/>
      <w:r w:rsidR="00363536" w:rsidRPr="003053F5">
        <w:rPr>
          <w:rFonts w:ascii="Arial" w:hAnsi="Arial" w:cs="Arial"/>
          <w:lang w:val="es-ES_tradnl"/>
        </w:rPr>
        <w:t>la hipercolesterolemia</w:t>
      </w:r>
      <w:proofErr w:type="gramEnd"/>
      <w:r w:rsidR="00363536" w:rsidRPr="003053F5">
        <w:rPr>
          <w:rFonts w:ascii="Arial" w:hAnsi="Arial" w:cs="Arial"/>
          <w:lang w:val="es-ES_tradnl"/>
        </w:rPr>
        <w:t>, pues inhibe en alguna medida la HMG-coa reductasa, enzima involucrada en el metabolismo del colesterol, y principal blanco de acción de las estatinas</w:t>
      </w:r>
      <w:r w:rsidRPr="003053F5">
        <w:rPr>
          <w:rFonts w:ascii="Arial" w:hAnsi="Arial" w:cs="Arial"/>
          <w:lang w:val="es-ES_tradnl"/>
        </w:rPr>
        <w:t xml:space="preserve">. </w:t>
      </w:r>
      <w:r w:rsidR="00363536" w:rsidRPr="003053F5">
        <w:rPr>
          <w:rFonts w:ascii="Arial" w:hAnsi="Arial" w:cs="Arial"/>
          <w:lang w:val="es-ES_tradnl"/>
        </w:rPr>
        <w:t xml:space="preserve">Se medirá colesterol total, LDL-colesterol, y HDL-colesterol en los </w:t>
      </w:r>
      <w:r w:rsidR="00483FA7" w:rsidRPr="003053F5">
        <w:rPr>
          <w:rFonts w:ascii="Arial" w:hAnsi="Arial" w:cs="Arial"/>
          <w:lang w:val="es-ES_tradnl"/>
        </w:rPr>
        <w:t>1</w:t>
      </w:r>
      <w:r w:rsidR="00554E3E" w:rsidRPr="003053F5">
        <w:rPr>
          <w:rFonts w:ascii="Arial" w:hAnsi="Arial" w:cs="Arial"/>
          <w:lang w:val="es-ES_tradnl"/>
        </w:rPr>
        <w:t xml:space="preserve">6000 </w:t>
      </w:r>
      <w:r w:rsidR="00363536" w:rsidRPr="003053F5">
        <w:rPr>
          <w:rFonts w:ascii="Arial" w:hAnsi="Arial" w:cs="Arial"/>
          <w:lang w:val="es-ES_tradnl"/>
        </w:rPr>
        <w:t xml:space="preserve">pacientes seleccionados. El </w:t>
      </w:r>
      <w:proofErr w:type="spellStart"/>
      <w:r w:rsidR="00CC6A07" w:rsidRPr="003053F5">
        <w:rPr>
          <w:rFonts w:ascii="Arial" w:hAnsi="Arial" w:cs="Arial"/>
          <w:b/>
          <w:i/>
          <w:lang w:val="es-ES_tradnl"/>
        </w:rPr>
        <w:t>Notaebrio</w:t>
      </w:r>
      <w:proofErr w:type="spellEnd"/>
      <w:r w:rsidR="00363536" w:rsidRPr="003053F5">
        <w:rPr>
          <w:rFonts w:ascii="Arial" w:hAnsi="Arial" w:cs="Arial"/>
          <w:lang w:val="es-ES_tradnl"/>
        </w:rPr>
        <w:t xml:space="preserve"> se administrará en forma de gotas sublinguales, además de en su forma </w:t>
      </w:r>
      <w:r w:rsidR="002E4851" w:rsidRPr="003053F5">
        <w:rPr>
          <w:rFonts w:ascii="Arial" w:hAnsi="Arial" w:cs="Arial"/>
          <w:lang w:val="es-ES_tradnl"/>
        </w:rPr>
        <w:t>tradicional</w:t>
      </w:r>
      <w:r w:rsidR="00483FA7" w:rsidRPr="003053F5">
        <w:rPr>
          <w:rFonts w:ascii="Arial" w:hAnsi="Arial" w:cs="Arial"/>
          <w:lang w:val="es-ES_tradnl"/>
        </w:rPr>
        <w:t xml:space="preserve"> (tabletas)</w:t>
      </w:r>
      <w:r w:rsidR="00363536" w:rsidRPr="003053F5">
        <w:rPr>
          <w:rFonts w:ascii="Arial" w:hAnsi="Arial" w:cs="Arial"/>
          <w:lang w:val="es-ES_tradnl"/>
        </w:rPr>
        <w:t xml:space="preserve">. Se pretende </w:t>
      </w:r>
      <w:r w:rsidR="00DD7243" w:rsidRPr="003053F5">
        <w:rPr>
          <w:rFonts w:ascii="Arial" w:hAnsi="Arial" w:cs="Arial"/>
          <w:lang w:val="es-ES_tradnl"/>
        </w:rPr>
        <w:t>así</w:t>
      </w:r>
      <w:r w:rsidR="00363536" w:rsidRPr="003053F5">
        <w:rPr>
          <w:rFonts w:ascii="Arial" w:hAnsi="Arial" w:cs="Arial"/>
          <w:lang w:val="es-ES_tradnl"/>
        </w:rPr>
        <w:t xml:space="preserve"> mismo, evaluar su utilidad en pacientes de edad avanzada</w:t>
      </w:r>
      <w:r w:rsidR="00DD7243" w:rsidRPr="003053F5">
        <w:rPr>
          <w:rFonts w:ascii="Arial" w:hAnsi="Arial" w:cs="Arial"/>
          <w:lang w:val="es-ES_tradnl"/>
        </w:rPr>
        <w:t xml:space="preserve"> (más de 65 años)</w:t>
      </w:r>
      <w:r w:rsidR="002E4851" w:rsidRPr="003053F5">
        <w:rPr>
          <w:rFonts w:ascii="Arial" w:hAnsi="Arial" w:cs="Arial"/>
          <w:lang w:val="es-ES_tradnl"/>
        </w:rPr>
        <w:t xml:space="preserve"> y en niños mayores de 12 años con diagnóstico de hipercolesterolemia familiar</w:t>
      </w:r>
      <w:r w:rsidR="00A730F4" w:rsidRPr="003053F5">
        <w:rPr>
          <w:rFonts w:ascii="Arial" w:hAnsi="Arial" w:cs="Arial"/>
          <w:lang w:val="es-ES_tradnl"/>
        </w:rPr>
        <w:t xml:space="preserve">, por lo que en el estudio participarán pacientes entre 13 y 90 años, </w:t>
      </w:r>
      <w:r w:rsidR="00483FA7" w:rsidRPr="003053F5">
        <w:rPr>
          <w:rFonts w:ascii="Arial" w:hAnsi="Arial" w:cs="Arial"/>
          <w:lang w:val="es-ES_tradnl"/>
        </w:rPr>
        <w:t>escogidos mediante aleatorización simple</w:t>
      </w:r>
      <w:r w:rsidR="00C9751A" w:rsidRPr="003053F5">
        <w:rPr>
          <w:rFonts w:ascii="Arial" w:hAnsi="Arial" w:cs="Arial"/>
          <w:lang w:val="es-ES_tradnl"/>
        </w:rPr>
        <w:t xml:space="preserve"> mediante una tabla de números aleatorios</w:t>
      </w:r>
      <w:r w:rsidR="00483FA7" w:rsidRPr="003053F5">
        <w:rPr>
          <w:rFonts w:ascii="Arial" w:hAnsi="Arial" w:cs="Arial"/>
          <w:lang w:val="es-ES_tradnl"/>
        </w:rPr>
        <w:t xml:space="preserve"> y </w:t>
      </w:r>
      <w:r w:rsidR="00A730F4" w:rsidRPr="003053F5">
        <w:rPr>
          <w:rFonts w:ascii="Arial" w:hAnsi="Arial" w:cs="Arial"/>
          <w:lang w:val="es-ES_tradnl"/>
        </w:rPr>
        <w:t xml:space="preserve">estratificados en </w:t>
      </w:r>
      <w:r w:rsidR="00483FA7" w:rsidRPr="003053F5">
        <w:rPr>
          <w:rFonts w:ascii="Arial" w:hAnsi="Arial" w:cs="Arial"/>
          <w:lang w:val="es-ES_tradnl"/>
        </w:rPr>
        <w:t>seis</w:t>
      </w:r>
      <w:r w:rsidR="00A730F4" w:rsidRPr="003053F5">
        <w:rPr>
          <w:rFonts w:ascii="Arial" w:hAnsi="Arial" w:cs="Arial"/>
          <w:lang w:val="es-ES_tradnl"/>
        </w:rPr>
        <w:t xml:space="preserve"> grupos:</w:t>
      </w:r>
    </w:p>
    <w:p w:rsidR="00A730F4" w:rsidRPr="003053F5" w:rsidRDefault="00A730F4" w:rsidP="003053F5">
      <w:pPr>
        <w:jc w:val="both"/>
        <w:rPr>
          <w:rFonts w:ascii="Arial" w:hAnsi="Arial" w:cs="Arial"/>
          <w:lang w:val="es-ES_tradnl"/>
        </w:rPr>
      </w:pPr>
      <w:r w:rsidRPr="003053F5">
        <w:rPr>
          <w:rFonts w:ascii="Arial" w:hAnsi="Arial" w:cs="Arial"/>
          <w:lang w:val="es-ES_tradnl"/>
        </w:rPr>
        <w:t>Grupo I: pacientes entre 13 y 40 años (Se les administrará el fármaco en gotas sublinguales)</w:t>
      </w:r>
    </w:p>
    <w:p w:rsidR="00483FA7" w:rsidRPr="003053F5" w:rsidRDefault="00483FA7" w:rsidP="003053F5">
      <w:pPr>
        <w:jc w:val="both"/>
        <w:rPr>
          <w:rFonts w:ascii="Arial" w:hAnsi="Arial" w:cs="Arial"/>
          <w:lang w:val="es-ES_tradnl"/>
        </w:rPr>
      </w:pPr>
      <w:r w:rsidRPr="003053F5">
        <w:rPr>
          <w:rFonts w:ascii="Arial" w:hAnsi="Arial" w:cs="Arial"/>
          <w:lang w:val="es-ES_tradnl"/>
        </w:rPr>
        <w:t>Grupo II: pacientes entre 13 y 40 años (Se les administrará atorvastatina)</w:t>
      </w:r>
    </w:p>
    <w:p w:rsidR="00A730F4" w:rsidRPr="003053F5" w:rsidRDefault="00A730F4" w:rsidP="003053F5">
      <w:pPr>
        <w:jc w:val="both"/>
        <w:rPr>
          <w:rFonts w:ascii="Arial" w:hAnsi="Arial" w:cs="Arial"/>
          <w:lang w:val="es-ES_tradnl"/>
        </w:rPr>
      </w:pPr>
      <w:r w:rsidRPr="003053F5">
        <w:rPr>
          <w:rFonts w:ascii="Arial" w:hAnsi="Arial" w:cs="Arial"/>
          <w:lang w:val="es-ES_tradnl"/>
        </w:rPr>
        <w:t xml:space="preserve">Grupo </w:t>
      </w:r>
      <w:r w:rsidR="00483FA7" w:rsidRPr="003053F5">
        <w:rPr>
          <w:rFonts w:ascii="Arial" w:hAnsi="Arial" w:cs="Arial"/>
          <w:lang w:val="es-ES_tradnl"/>
        </w:rPr>
        <w:t>III</w:t>
      </w:r>
      <w:r w:rsidRPr="003053F5">
        <w:rPr>
          <w:rFonts w:ascii="Arial" w:hAnsi="Arial" w:cs="Arial"/>
          <w:lang w:val="es-ES_tradnl"/>
        </w:rPr>
        <w:t>: Pacientes entre 41 y 65 años (Se les administrará el fármaco en tabletas)</w:t>
      </w:r>
    </w:p>
    <w:p w:rsidR="00A721CE" w:rsidRPr="003053F5" w:rsidRDefault="00A721CE" w:rsidP="003053F5">
      <w:pPr>
        <w:jc w:val="both"/>
        <w:rPr>
          <w:rFonts w:ascii="Arial" w:hAnsi="Arial" w:cs="Arial"/>
          <w:lang w:val="es-ES_tradnl"/>
        </w:rPr>
      </w:pPr>
      <w:r w:rsidRPr="003053F5">
        <w:rPr>
          <w:rFonts w:ascii="Arial" w:hAnsi="Arial" w:cs="Arial"/>
          <w:lang w:val="es-ES_tradnl"/>
        </w:rPr>
        <w:t xml:space="preserve">Grupo </w:t>
      </w:r>
      <w:r w:rsidR="00483FA7" w:rsidRPr="003053F5">
        <w:rPr>
          <w:rFonts w:ascii="Arial" w:hAnsi="Arial" w:cs="Arial"/>
          <w:lang w:val="es-ES_tradnl"/>
        </w:rPr>
        <w:t>IV</w:t>
      </w:r>
      <w:r w:rsidRPr="003053F5">
        <w:rPr>
          <w:rFonts w:ascii="Arial" w:hAnsi="Arial" w:cs="Arial"/>
          <w:lang w:val="es-ES_tradnl"/>
        </w:rPr>
        <w:t xml:space="preserve">: Pacientes entre 41 y 65 años (Se les administrará </w:t>
      </w:r>
      <w:r w:rsidR="00483FA7" w:rsidRPr="003053F5">
        <w:rPr>
          <w:rFonts w:ascii="Arial" w:hAnsi="Arial" w:cs="Arial"/>
          <w:lang w:val="es-ES_tradnl"/>
        </w:rPr>
        <w:t>atorvastatina</w:t>
      </w:r>
      <w:r w:rsidRPr="003053F5">
        <w:rPr>
          <w:rFonts w:ascii="Arial" w:hAnsi="Arial" w:cs="Arial"/>
          <w:lang w:val="es-ES_tradnl"/>
        </w:rPr>
        <w:t>)</w:t>
      </w:r>
    </w:p>
    <w:p w:rsidR="00A730F4" w:rsidRPr="003053F5" w:rsidRDefault="00A730F4" w:rsidP="003053F5">
      <w:pPr>
        <w:jc w:val="both"/>
        <w:rPr>
          <w:rFonts w:ascii="Arial" w:hAnsi="Arial" w:cs="Arial"/>
          <w:lang w:val="es-ES_tradnl"/>
        </w:rPr>
      </w:pPr>
      <w:r w:rsidRPr="003053F5">
        <w:rPr>
          <w:rFonts w:ascii="Arial" w:hAnsi="Arial" w:cs="Arial"/>
          <w:lang w:val="es-ES_tradnl"/>
        </w:rPr>
        <w:t xml:space="preserve">Grupo </w:t>
      </w:r>
      <w:r w:rsidR="00483FA7" w:rsidRPr="003053F5">
        <w:rPr>
          <w:rFonts w:ascii="Arial" w:hAnsi="Arial" w:cs="Arial"/>
          <w:lang w:val="es-ES_tradnl"/>
        </w:rPr>
        <w:t>V</w:t>
      </w:r>
      <w:r w:rsidRPr="003053F5">
        <w:rPr>
          <w:rFonts w:ascii="Arial" w:hAnsi="Arial" w:cs="Arial"/>
          <w:lang w:val="es-ES_tradnl"/>
        </w:rPr>
        <w:t>: Pacientes entre 66 y 90 años (Se les administrará el fármaco en gotas sublinguales)</w:t>
      </w:r>
    </w:p>
    <w:p w:rsidR="00483FA7" w:rsidRPr="003053F5" w:rsidRDefault="00483FA7" w:rsidP="003053F5">
      <w:pPr>
        <w:jc w:val="both"/>
        <w:rPr>
          <w:rFonts w:ascii="Arial" w:hAnsi="Arial" w:cs="Arial"/>
          <w:lang w:val="es-ES_tradnl"/>
        </w:rPr>
      </w:pPr>
      <w:r w:rsidRPr="003053F5">
        <w:rPr>
          <w:rFonts w:ascii="Arial" w:hAnsi="Arial" w:cs="Arial"/>
          <w:lang w:val="es-ES_tradnl"/>
        </w:rPr>
        <w:lastRenderedPageBreak/>
        <w:t>Grupo VI: Pacientes entre 66 y 90 años (Se les administrará atorvastatina)</w:t>
      </w:r>
    </w:p>
    <w:p w:rsidR="00483FA7" w:rsidRPr="003053F5" w:rsidRDefault="00483FA7" w:rsidP="003053F5">
      <w:pPr>
        <w:jc w:val="both"/>
        <w:rPr>
          <w:rFonts w:ascii="Arial" w:hAnsi="Arial" w:cs="Arial"/>
          <w:lang w:val="es-ES_tradnl"/>
        </w:rPr>
      </w:pPr>
    </w:p>
    <w:p w:rsidR="000943C2" w:rsidRPr="003053F5" w:rsidRDefault="00DD7243" w:rsidP="003053F5">
      <w:pPr>
        <w:jc w:val="both"/>
        <w:rPr>
          <w:rFonts w:ascii="Arial" w:hAnsi="Arial" w:cs="Arial"/>
          <w:lang w:val="es-ES_tradnl"/>
        </w:rPr>
      </w:pPr>
      <w:r w:rsidRPr="003053F5">
        <w:rPr>
          <w:rFonts w:ascii="Arial" w:hAnsi="Arial" w:cs="Arial"/>
          <w:lang w:val="es-ES_tradnl"/>
        </w:rPr>
        <w:t>Se vigilará</w:t>
      </w:r>
      <w:r w:rsidR="00EF765C" w:rsidRPr="003053F5">
        <w:rPr>
          <w:rFonts w:ascii="Arial" w:hAnsi="Arial" w:cs="Arial"/>
          <w:lang w:val="es-ES_tradnl"/>
        </w:rPr>
        <w:t>n</w:t>
      </w:r>
      <w:r w:rsidRPr="003053F5">
        <w:rPr>
          <w:rFonts w:ascii="Arial" w:hAnsi="Arial" w:cs="Arial"/>
          <w:lang w:val="es-ES_tradnl"/>
        </w:rPr>
        <w:t xml:space="preserve"> </w:t>
      </w:r>
      <w:r w:rsidR="00EF765C" w:rsidRPr="003053F5">
        <w:rPr>
          <w:rFonts w:ascii="Arial" w:hAnsi="Arial" w:cs="Arial"/>
          <w:lang w:val="es-ES_tradnl"/>
        </w:rPr>
        <w:t xml:space="preserve">especialmente </w:t>
      </w:r>
      <w:r w:rsidRPr="003053F5">
        <w:rPr>
          <w:rFonts w:ascii="Arial" w:hAnsi="Arial" w:cs="Arial"/>
          <w:lang w:val="es-ES_tradnl"/>
        </w:rPr>
        <w:t>la función hepática y la aparición de dolores musculares u otro síntoma de miositis, efectos adversos comunes de las estatinas.</w:t>
      </w:r>
      <w:r w:rsidR="00EC746F" w:rsidRPr="003053F5">
        <w:rPr>
          <w:rFonts w:ascii="Arial" w:hAnsi="Arial" w:cs="Arial"/>
          <w:lang w:val="es-ES_tradnl"/>
        </w:rPr>
        <w:t xml:space="preserve"> Tanto los participantes del estudio como los investigadores desconocerán el tratamiento que le fue asignado a cada grupo.</w:t>
      </w:r>
    </w:p>
    <w:p w:rsidR="001E0565" w:rsidRPr="003053F5" w:rsidRDefault="001E0565" w:rsidP="003053F5">
      <w:pPr>
        <w:jc w:val="both"/>
        <w:rPr>
          <w:rFonts w:ascii="Arial" w:hAnsi="Arial" w:cs="Arial"/>
          <w:b/>
          <w:lang w:val="es-ES_tradnl"/>
        </w:rPr>
      </w:pPr>
      <w:r w:rsidRPr="003053F5">
        <w:rPr>
          <w:rFonts w:ascii="Arial" w:hAnsi="Arial" w:cs="Arial"/>
          <w:b/>
          <w:lang w:val="es-ES_tradnl"/>
        </w:rPr>
        <w:t xml:space="preserve">Diga: </w:t>
      </w:r>
    </w:p>
    <w:p w:rsidR="002921C7" w:rsidRPr="003053F5" w:rsidRDefault="001E0565" w:rsidP="003053F5">
      <w:pPr>
        <w:numPr>
          <w:ilvl w:val="0"/>
          <w:numId w:val="5"/>
        </w:numPr>
        <w:jc w:val="both"/>
        <w:rPr>
          <w:rFonts w:ascii="Arial" w:hAnsi="Arial" w:cs="Arial"/>
          <w:lang w:val="es-ES_tradnl"/>
        </w:rPr>
      </w:pPr>
      <w:r w:rsidRPr="003053F5">
        <w:rPr>
          <w:rFonts w:ascii="Arial" w:hAnsi="Arial" w:cs="Arial"/>
          <w:lang w:val="es-ES_tradnl"/>
        </w:rPr>
        <w:t>Fase de ensayo clínico</w:t>
      </w:r>
      <w:r w:rsidR="00AB53F6" w:rsidRPr="003053F5">
        <w:rPr>
          <w:rFonts w:ascii="Arial" w:hAnsi="Arial" w:cs="Arial"/>
          <w:lang w:val="es-ES_tradnl"/>
        </w:rPr>
        <w:t xml:space="preserve"> y características</w:t>
      </w:r>
    </w:p>
    <w:p w:rsidR="00092F0C" w:rsidRPr="003053F5" w:rsidRDefault="00A22F1E" w:rsidP="003053F5">
      <w:pPr>
        <w:numPr>
          <w:ilvl w:val="0"/>
          <w:numId w:val="3"/>
        </w:numPr>
        <w:jc w:val="both"/>
        <w:rPr>
          <w:rFonts w:ascii="Arial" w:hAnsi="Arial" w:cs="Arial"/>
          <w:lang w:val="es-ES_tradnl"/>
        </w:rPr>
      </w:pPr>
      <w:r w:rsidRPr="003053F5">
        <w:rPr>
          <w:rFonts w:ascii="Arial" w:hAnsi="Arial" w:cs="Arial"/>
          <w:lang w:val="es-ES_tradnl"/>
        </w:rPr>
        <w:t>¿Qué pilares básicos de los ensayos clínicos están presentes?</w:t>
      </w:r>
      <w:r w:rsidR="00092F0C" w:rsidRPr="003053F5">
        <w:rPr>
          <w:rFonts w:ascii="Arial" w:hAnsi="Arial" w:cs="Arial"/>
          <w:lang w:val="es-ES_tradnl"/>
        </w:rPr>
        <w:t xml:space="preserve"> Fundamente</w:t>
      </w:r>
    </w:p>
    <w:p w:rsidR="0059423D" w:rsidRPr="003053F5" w:rsidRDefault="0059423D" w:rsidP="003053F5">
      <w:pPr>
        <w:numPr>
          <w:ilvl w:val="0"/>
          <w:numId w:val="5"/>
        </w:numPr>
        <w:jc w:val="both"/>
        <w:rPr>
          <w:rFonts w:ascii="Arial" w:hAnsi="Arial" w:cs="Arial"/>
          <w:lang w:val="es-ES_tradnl"/>
        </w:rPr>
      </w:pPr>
      <w:r w:rsidRPr="003053F5">
        <w:rPr>
          <w:rFonts w:ascii="Arial" w:hAnsi="Arial" w:cs="Arial"/>
          <w:lang w:val="es-ES_tradnl"/>
        </w:rPr>
        <w:t>¿Cómo evaluaría el ensayo según la escala de JADAT</w:t>
      </w:r>
      <w:r w:rsidR="00151B2D" w:rsidRPr="003053F5">
        <w:rPr>
          <w:rFonts w:ascii="Arial" w:hAnsi="Arial" w:cs="Arial"/>
          <w:lang w:val="es-ES_tradnl"/>
        </w:rPr>
        <w:t xml:space="preserve"> modificada</w:t>
      </w:r>
      <w:r w:rsidRPr="003053F5">
        <w:rPr>
          <w:rFonts w:ascii="Arial" w:hAnsi="Arial" w:cs="Arial"/>
          <w:lang w:val="es-ES_tradnl"/>
        </w:rPr>
        <w:t>?</w:t>
      </w:r>
    </w:p>
    <w:p w:rsidR="00852467" w:rsidRPr="003053F5" w:rsidRDefault="00CC6A07" w:rsidP="003053F5">
      <w:pPr>
        <w:jc w:val="both"/>
        <w:rPr>
          <w:rFonts w:ascii="Arial" w:hAnsi="Arial" w:cs="Arial"/>
          <w:lang w:val="es-ES_tradnl"/>
        </w:rPr>
      </w:pPr>
      <w:r w:rsidRPr="003053F5">
        <w:rPr>
          <w:rFonts w:ascii="Arial" w:hAnsi="Arial" w:cs="Arial"/>
          <w:lang w:val="es-ES_tradnl"/>
        </w:rPr>
        <w:t>:::::::::::::::::::::::::::::::::::::::::::::::::::::::::::::::::::::::::::::::::::::::::::::::::::::::::::::::::::::::::::::::::::::::::::::</w:t>
      </w:r>
    </w:p>
    <w:p w:rsidR="001D4267" w:rsidRPr="003053F5" w:rsidRDefault="001D4267" w:rsidP="003053F5">
      <w:pPr>
        <w:jc w:val="both"/>
        <w:rPr>
          <w:rFonts w:ascii="Arial" w:hAnsi="Arial" w:cs="Arial"/>
          <w:lang w:val="es-ES_tradnl"/>
        </w:rPr>
      </w:pPr>
    </w:p>
    <w:p w:rsidR="001D4267" w:rsidRPr="003053F5" w:rsidRDefault="00CC6A07" w:rsidP="003053F5">
      <w:pPr>
        <w:jc w:val="both"/>
        <w:rPr>
          <w:rFonts w:ascii="Arial" w:hAnsi="Arial" w:cs="Arial"/>
          <w:u w:val="single"/>
          <w:lang w:val="es-ES_tradnl"/>
        </w:rPr>
      </w:pPr>
      <w:r w:rsidRPr="003053F5">
        <w:rPr>
          <w:rFonts w:ascii="Arial" w:hAnsi="Arial" w:cs="Arial"/>
          <w:b/>
          <w:u w:val="single"/>
          <w:lang w:val="es-ES_tradnl"/>
        </w:rPr>
        <w:t>SITUACIÓN 2</w:t>
      </w:r>
    </w:p>
    <w:p w:rsidR="001D4267" w:rsidRPr="003053F5" w:rsidRDefault="001D4267" w:rsidP="003053F5">
      <w:pPr>
        <w:jc w:val="both"/>
        <w:rPr>
          <w:rFonts w:ascii="Arial" w:hAnsi="Arial" w:cs="Arial"/>
          <w:lang w:val="es-ES_tradnl"/>
        </w:rPr>
      </w:pPr>
    </w:p>
    <w:p w:rsidR="0030095D" w:rsidRPr="003053F5" w:rsidRDefault="00852467" w:rsidP="003053F5">
      <w:pPr>
        <w:jc w:val="both"/>
        <w:rPr>
          <w:rFonts w:ascii="Arial" w:hAnsi="Arial" w:cs="Arial"/>
          <w:lang w:val="es-ES_tradnl"/>
        </w:rPr>
      </w:pPr>
      <w:r w:rsidRPr="003053F5">
        <w:rPr>
          <w:rFonts w:ascii="Arial" w:hAnsi="Arial" w:cs="Arial"/>
          <w:b/>
          <w:caps/>
          <w:lang w:val="es-ES_tradnl"/>
        </w:rPr>
        <w:t>Lememorie</w:t>
      </w:r>
      <w:r w:rsidR="004B657A" w:rsidRPr="003053F5">
        <w:rPr>
          <w:rFonts w:ascii="Arial" w:hAnsi="Arial" w:cs="Arial"/>
          <w:b/>
          <w:caps/>
          <w:lang w:val="es-ES_tradnl"/>
        </w:rPr>
        <w:t xml:space="preserve"> </w:t>
      </w:r>
      <w:r w:rsidR="004B657A" w:rsidRPr="003053F5">
        <w:rPr>
          <w:rFonts w:ascii="Arial" w:hAnsi="Arial" w:cs="Arial"/>
          <w:caps/>
          <w:lang w:val="es-ES_tradnl"/>
        </w:rPr>
        <w:t>(</w:t>
      </w:r>
      <w:r w:rsidRPr="003053F5">
        <w:rPr>
          <w:rFonts w:ascii="Arial" w:hAnsi="Arial" w:cs="Arial"/>
          <w:lang w:val="es-ES_tradnl"/>
        </w:rPr>
        <w:t>Clínica francesa</w:t>
      </w:r>
      <w:r w:rsidR="004B657A" w:rsidRPr="003053F5">
        <w:rPr>
          <w:rFonts w:ascii="Arial" w:hAnsi="Arial" w:cs="Arial"/>
          <w:lang w:val="es-ES_tradnl"/>
        </w:rPr>
        <w:t>)</w:t>
      </w:r>
    </w:p>
    <w:p w:rsidR="003D47B6" w:rsidRPr="003053F5" w:rsidRDefault="00852467" w:rsidP="003053F5">
      <w:pPr>
        <w:jc w:val="both"/>
        <w:rPr>
          <w:rFonts w:ascii="Arial" w:hAnsi="Arial" w:cs="Arial"/>
          <w:lang w:val="es-ES_tradnl"/>
        </w:rPr>
      </w:pPr>
      <w:r w:rsidRPr="003053F5">
        <w:rPr>
          <w:rFonts w:ascii="Arial" w:hAnsi="Arial" w:cs="Arial"/>
          <w:lang w:val="es-ES_tradnl"/>
        </w:rPr>
        <w:t xml:space="preserve">Se hará un ensayo clínico con el fármaco </w:t>
      </w:r>
      <w:proofErr w:type="spellStart"/>
      <w:r w:rsidR="00CC6A07" w:rsidRPr="003053F5">
        <w:rPr>
          <w:rFonts w:ascii="Arial" w:hAnsi="Arial" w:cs="Arial"/>
          <w:b/>
          <w:i/>
          <w:lang w:val="es-ES_tradnl"/>
        </w:rPr>
        <w:t>Meacordé</w:t>
      </w:r>
      <w:proofErr w:type="spellEnd"/>
      <w:r w:rsidRPr="003053F5">
        <w:rPr>
          <w:rFonts w:ascii="Arial" w:hAnsi="Arial" w:cs="Arial"/>
          <w:lang w:val="es-ES_tradnl"/>
        </w:rPr>
        <w:t xml:space="preserve"> para </w:t>
      </w:r>
      <w:r w:rsidR="00A22F1E" w:rsidRPr="003053F5">
        <w:rPr>
          <w:rFonts w:ascii="Arial" w:hAnsi="Arial" w:cs="Arial"/>
          <w:lang w:val="es-ES_tradnl"/>
        </w:rPr>
        <w:t>evaluar</w:t>
      </w:r>
      <w:r w:rsidR="00A259E0" w:rsidRPr="003053F5">
        <w:rPr>
          <w:rFonts w:ascii="Arial" w:hAnsi="Arial" w:cs="Arial"/>
          <w:lang w:val="es-ES_tradnl"/>
        </w:rPr>
        <w:t xml:space="preserve"> el grado de beneficio en </w:t>
      </w:r>
      <w:r w:rsidRPr="003053F5">
        <w:rPr>
          <w:rFonts w:ascii="Arial" w:hAnsi="Arial" w:cs="Arial"/>
          <w:lang w:val="es-ES_tradnl"/>
        </w:rPr>
        <w:t>el tratamiento de</w:t>
      </w:r>
      <w:r w:rsidR="00102A0F" w:rsidRPr="003053F5">
        <w:rPr>
          <w:rFonts w:ascii="Arial" w:hAnsi="Arial" w:cs="Arial"/>
          <w:lang w:val="es-ES_tradnl"/>
        </w:rPr>
        <w:t xml:space="preserve">l deterioro cognitivo leve, etapa que precede a </w:t>
      </w:r>
      <w:r w:rsidRPr="003053F5">
        <w:rPr>
          <w:rFonts w:ascii="Arial" w:hAnsi="Arial" w:cs="Arial"/>
          <w:lang w:val="es-ES_tradnl"/>
        </w:rPr>
        <w:t>la demencia de Alzheimer</w:t>
      </w:r>
      <w:r w:rsidR="00A22F1E" w:rsidRPr="003053F5">
        <w:rPr>
          <w:rFonts w:ascii="Arial" w:hAnsi="Arial" w:cs="Arial"/>
          <w:lang w:val="es-ES_tradnl"/>
        </w:rPr>
        <w:t xml:space="preserve">. Se asignará el tratamiento </w:t>
      </w:r>
      <w:r w:rsidR="00E81A20" w:rsidRPr="003053F5">
        <w:rPr>
          <w:rFonts w:ascii="Arial" w:hAnsi="Arial" w:cs="Arial"/>
          <w:lang w:val="es-ES_tradnl"/>
        </w:rPr>
        <w:t>por el método de aleatorización por bloques balanceados</w:t>
      </w:r>
      <w:r w:rsidR="00A22F1E" w:rsidRPr="003053F5">
        <w:rPr>
          <w:rFonts w:ascii="Arial" w:hAnsi="Arial" w:cs="Arial"/>
          <w:lang w:val="es-ES_tradnl"/>
        </w:rPr>
        <w:t xml:space="preserve"> </w:t>
      </w:r>
      <w:r w:rsidR="001B6385" w:rsidRPr="003053F5">
        <w:rPr>
          <w:rFonts w:ascii="Arial" w:hAnsi="Arial" w:cs="Arial"/>
          <w:lang w:val="es-ES_tradnl"/>
        </w:rPr>
        <w:t xml:space="preserve">usando una tabla de números aleatorios </w:t>
      </w:r>
      <w:r w:rsidR="00A22F1E" w:rsidRPr="003053F5">
        <w:rPr>
          <w:rFonts w:ascii="Arial" w:hAnsi="Arial" w:cs="Arial"/>
          <w:lang w:val="es-ES_tradnl"/>
        </w:rPr>
        <w:t>y</w:t>
      </w:r>
      <w:r w:rsidRPr="003053F5">
        <w:rPr>
          <w:rFonts w:ascii="Arial" w:hAnsi="Arial" w:cs="Arial"/>
          <w:lang w:val="es-ES_tradnl"/>
        </w:rPr>
        <w:t xml:space="preserve"> se comparará con </w:t>
      </w:r>
      <w:r w:rsidR="00CA3A31" w:rsidRPr="003053F5">
        <w:rPr>
          <w:rFonts w:ascii="Arial" w:hAnsi="Arial" w:cs="Arial"/>
          <w:lang w:val="es-ES_tradnl"/>
        </w:rPr>
        <w:t>un placebo.</w:t>
      </w:r>
      <w:r w:rsidR="00BB4D26" w:rsidRPr="003053F5">
        <w:rPr>
          <w:rFonts w:ascii="Arial" w:hAnsi="Arial" w:cs="Arial"/>
          <w:lang w:val="es-ES_tradnl"/>
        </w:rPr>
        <w:t xml:space="preserve"> </w:t>
      </w:r>
      <w:proofErr w:type="spellStart"/>
      <w:r w:rsidR="00CC6A07" w:rsidRPr="003053F5">
        <w:rPr>
          <w:rFonts w:ascii="Arial" w:hAnsi="Arial" w:cs="Arial"/>
          <w:b/>
          <w:i/>
          <w:lang w:val="es-ES_tradnl"/>
        </w:rPr>
        <w:t>Meacordé</w:t>
      </w:r>
      <w:proofErr w:type="spellEnd"/>
      <w:r w:rsidR="00BB4D26" w:rsidRPr="003053F5">
        <w:rPr>
          <w:rFonts w:ascii="Arial" w:hAnsi="Arial" w:cs="Arial"/>
          <w:b/>
          <w:lang w:val="es-ES_tradnl"/>
        </w:rPr>
        <w:t xml:space="preserve"> </w:t>
      </w:r>
      <w:r w:rsidR="00BB4D26" w:rsidRPr="003053F5">
        <w:rPr>
          <w:rFonts w:ascii="Arial" w:hAnsi="Arial" w:cs="Arial"/>
          <w:lang w:val="es-ES_tradnl"/>
        </w:rPr>
        <w:t xml:space="preserve">se administrará en dosis </w:t>
      </w:r>
      <w:r w:rsidR="00102A0F" w:rsidRPr="003053F5">
        <w:rPr>
          <w:rFonts w:ascii="Arial" w:hAnsi="Arial" w:cs="Arial"/>
          <w:lang w:val="es-ES_tradnl"/>
        </w:rPr>
        <w:t xml:space="preserve">única de 40 mg, en dos dosis </w:t>
      </w:r>
      <w:r w:rsidR="00BB4D26" w:rsidRPr="003053F5">
        <w:rPr>
          <w:rFonts w:ascii="Arial" w:hAnsi="Arial" w:cs="Arial"/>
          <w:lang w:val="es-ES_tradnl"/>
        </w:rPr>
        <w:t xml:space="preserve">de 20 mg, </w:t>
      </w:r>
      <w:r w:rsidR="00102A0F" w:rsidRPr="003053F5">
        <w:rPr>
          <w:rFonts w:ascii="Arial" w:hAnsi="Arial" w:cs="Arial"/>
          <w:lang w:val="es-ES_tradnl"/>
        </w:rPr>
        <w:t xml:space="preserve">y en 3 dosis de 10 mg, </w:t>
      </w:r>
      <w:r w:rsidR="00BB4D26" w:rsidRPr="003053F5">
        <w:rPr>
          <w:rFonts w:ascii="Arial" w:hAnsi="Arial" w:cs="Arial"/>
          <w:lang w:val="es-ES_tradnl"/>
        </w:rPr>
        <w:t xml:space="preserve">explorándose la farmacocinética en </w:t>
      </w:r>
      <w:r w:rsidR="00102A0F" w:rsidRPr="003053F5">
        <w:rPr>
          <w:rFonts w:ascii="Arial" w:hAnsi="Arial" w:cs="Arial"/>
          <w:lang w:val="es-ES_tradnl"/>
        </w:rPr>
        <w:t>todos los casos</w:t>
      </w:r>
      <w:r w:rsidR="00BB4D26" w:rsidRPr="003053F5">
        <w:rPr>
          <w:rFonts w:ascii="Arial" w:hAnsi="Arial" w:cs="Arial"/>
          <w:lang w:val="es-ES_tradnl"/>
        </w:rPr>
        <w:t xml:space="preserve">. La eficacia se </w:t>
      </w:r>
      <w:r w:rsidR="00A22F1E" w:rsidRPr="003053F5">
        <w:rPr>
          <w:rFonts w:ascii="Arial" w:hAnsi="Arial" w:cs="Arial"/>
          <w:lang w:val="es-ES_tradnl"/>
        </w:rPr>
        <w:t>evaluará</w:t>
      </w:r>
      <w:r w:rsidR="00BB4D26" w:rsidRPr="003053F5">
        <w:rPr>
          <w:rFonts w:ascii="Arial" w:hAnsi="Arial" w:cs="Arial"/>
          <w:lang w:val="es-ES_tradnl"/>
        </w:rPr>
        <w:t xml:space="preserve"> través de la aplicación de Test de memoria específicos para esta enfermedad</w:t>
      </w:r>
      <w:r w:rsidR="003B2CDB" w:rsidRPr="003053F5">
        <w:rPr>
          <w:rFonts w:ascii="Arial" w:hAnsi="Arial" w:cs="Arial"/>
          <w:lang w:val="es-ES_tradnl"/>
        </w:rPr>
        <w:t xml:space="preserve"> (</w:t>
      </w:r>
      <w:proofErr w:type="spellStart"/>
      <w:r w:rsidR="003B2CDB" w:rsidRPr="003053F5">
        <w:rPr>
          <w:rFonts w:ascii="Arial" w:hAnsi="Arial" w:cs="Arial"/>
          <w:lang w:val="es-ES_tradnl"/>
        </w:rPr>
        <w:t>Miniexamen</w:t>
      </w:r>
      <w:proofErr w:type="spellEnd"/>
      <w:r w:rsidR="003B2CDB" w:rsidRPr="003053F5">
        <w:rPr>
          <w:rFonts w:ascii="Arial" w:hAnsi="Arial" w:cs="Arial"/>
          <w:lang w:val="es-ES_tradnl"/>
        </w:rPr>
        <w:t xml:space="preserve"> del estado mental</w:t>
      </w:r>
      <w:r w:rsidR="003D47B6" w:rsidRPr="003053F5">
        <w:rPr>
          <w:rFonts w:ascii="Arial" w:hAnsi="Arial" w:cs="Arial"/>
          <w:lang w:val="es-ES_tradnl"/>
        </w:rPr>
        <w:t>, Escala de Deterioro Global</w:t>
      </w:r>
      <w:r w:rsidR="003B2CDB" w:rsidRPr="003053F5">
        <w:rPr>
          <w:rFonts w:ascii="Arial" w:hAnsi="Arial" w:cs="Arial"/>
          <w:lang w:val="es-ES_tradnl"/>
        </w:rPr>
        <w:t xml:space="preserve"> y ADAS cognitivo)</w:t>
      </w:r>
      <w:r w:rsidR="00980F2D" w:rsidRPr="003053F5">
        <w:rPr>
          <w:rFonts w:ascii="Arial" w:hAnsi="Arial" w:cs="Arial"/>
          <w:lang w:val="es-ES_tradnl"/>
        </w:rPr>
        <w:t xml:space="preserve">, </w:t>
      </w:r>
      <w:r w:rsidR="00BB4D26" w:rsidRPr="003053F5">
        <w:rPr>
          <w:rFonts w:ascii="Arial" w:hAnsi="Arial" w:cs="Arial"/>
          <w:lang w:val="es-ES_tradnl"/>
        </w:rPr>
        <w:t>la realización de SPECT</w:t>
      </w:r>
      <w:r w:rsidR="00102A0F" w:rsidRPr="003053F5">
        <w:rPr>
          <w:rFonts w:ascii="Arial" w:hAnsi="Arial" w:cs="Arial"/>
          <w:lang w:val="es-ES_tradnl"/>
        </w:rPr>
        <w:t xml:space="preserve"> (tomografía simple por emisión de positrones, para medir perfusión cerebral) y RMN (resonancia magnética nuclear, para medir grado de atrofia cerebral). </w:t>
      </w:r>
      <w:r w:rsidR="00A259E0" w:rsidRPr="003053F5">
        <w:rPr>
          <w:rFonts w:ascii="Arial" w:hAnsi="Arial" w:cs="Arial"/>
          <w:lang w:val="es-ES_tradnl"/>
        </w:rPr>
        <w:t>C</w:t>
      </w:r>
      <w:r w:rsidR="00102A0F" w:rsidRPr="003053F5">
        <w:rPr>
          <w:rFonts w:ascii="Arial" w:hAnsi="Arial" w:cs="Arial"/>
          <w:lang w:val="es-ES_tradnl"/>
        </w:rPr>
        <w:t xml:space="preserve">omo mecanismo fundamental de acción de </w:t>
      </w:r>
      <w:proofErr w:type="spellStart"/>
      <w:r w:rsidR="00CC6A07" w:rsidRPr="003053F5">
        <w:rPr>
          <w:rFonts w:ascii="Arial" w:hAnsi="Arial" w:cs="Arial"/>
          <w:b/>
          <w:i/>
          <w:lang w:val="es-ES_tradnl"/>
        </w:rPr>
        <w:t>Meacordé</w:t>
      </w:r>
      <w:proofErr w:type="spellEnd"/>
      <w:r w:rsidR="00102A0F" w:rsidRPr="003053F5">
        <w:rPr>
          <w:rFonts w:ascii="Arial" w:hAnsi="Arial" w:cs="Arial"/>
          <w:lang w:val="es-ES_tradnl"/>
        </w:rPr>
        <w:t xml:space="preserve"> se invoca la inhibición de la enzima acetilcolinesterasa, pero se cree que además posee efecto antioxidante, por lo que se medirán los niveles de </w:t>
      </w:r>
      <w:r w:rsidR="003D47B6" w:rsidRPr="003053F5">
        <w:rPr>
          <w:rFonts w:ascii="Arial" w:hAnsi="Arial" w:cs="Arial"/>
        </w:rPr>
        <w:t xml:space="preserve">catalasa, SOD </w:t>
      </w:r>
      <w:r w:rsidR="003D47B6" w:rsidRPr="003053F5">
        <w:rPr>
          <w:rFonts w:ascii="Arial" w:hAnsi="Arial" w:cs="Arial"/>
          <w:lang w:val="es-ES_tradnl"/>
        </w:rPr>
        <w:t xml:space="preserve">(superóxido dismutasa) </w:t>
      </w:r>
      <w:r w:rsidR="003D47B6" w:rsidRPr="003053F5">
        <w:rPr>
          <w:rFonts w:ascii="Arial" w:hAnsi="Arial" w:cs="Arial"/>
        </w:rPr>
        <w:t>y colinesterasa al inicio, a las 12 semanas y a las 24 semanas de tratamiento.</w:t>
      </w:r>
      <w:r w:rsidR="00363536" w:rsidRPr="003053F5">
        <w:rPr>
          <w:rFonts w:ascii="Arial" w:hAnsi="Arial" w:cs="Arial"/>
        </w:rPr>
        <w:t xml:space="preserve"> Se vigilará estrechamente la función hepática teniendo en cuenta que fármacos del mismo grupo como el </w:t>
      </w:r>
      <w:proofErr w:type="spellStart"/>
      <w:r w:rsidR="00CC6A07" w:rsidRPr="003053F5">
        <w:rPr>
          <w:rFonts w:ascii="Arial" w:hAnsi="Arial" w:cs="Arial"/>
          <w:b/>
          <w:i/>
        </w:rPr>
        <w:t>Tacrine</w:t>
      </w:r>
      <w:proofErr w:type="spellEnd"/>
      <w:r w:rsidR="00363536" w:rsidRPr="003053F5">
        <w:rPr>
          <w:rFonts w:ascii="Arial" w:hAnsi="Arial" w:cs="Arial"/>
        </w:rPr>
        <w:t>, han sido retirados del mercado por provocar insuficiencia hepática.</w:t>
      </w:r>
      <w:r w:rsidR="001B6385" w:rsidRPr="003053F5">
        <w:rPr>
          <w:rFonts w:ascii="Arial" w:hAnsi="Arial" w:cs="Arial"/>
        </w:rPr>
        <w:t xml:space="preserve"> Ni los participantes ni los investigadores conocerán los tratamientos asignados en cada caso.</w:t>
      </w:r>
    </w:p>
    <w:p w:rsidR="009E79AB" w:rsidRPr="003053F5" w:rsidRDefault="009E79AB" w:rsidP="003053F5">
      <w:pPr>
        <w:jc w:val="both"/>
        <w:rPr>
          <w:rFonts w:ascii="Arial" w:hAnsi="Arial" w:cs="Arial"/>
          <w:b/>
          <w:lang w:val="es-ES_tradnl"/>
        </w:rPr>
      </w:pPr>
      <w:r w:rsidRPr="003053F5">
        <w:rPr>
          <w:rFonts w:ascii="Arial" w:hAnsi="Arial" w:cs="Arial"/>
          <w:b/>
          <w:lang w:val="es-ES_tradnl"/>
        </w:rPr>
        <w:t xml:space="preserve">Diga: </w:t>
      </w:r>
    </w:p>
    <w:p w:rsidR="005F3F3E" w:rsidRPr="003053F5" w:rsidRDefault="005F3F3E" w:rsidP="003053F5">
      <w:pPr>
        <w:numPr>
          <w:ilvl w:val="0"/>
          <w:numId w:val="4"/>
        </w:numPr>
        <w:jc w:val="both"/>
        <w:rPr>
          <w:rFonts w:ascii="Arial" w:hAnsi="Arial" w:cs="Arial"/>
          <w:lang w:val="es-ES_tradnl"/>
        </w:rPr>
      </w:pPr>
      <w:r w:rsidRPr="003053F5">
        <w:rPr>
          <w:rFonts w:ascii="Arial" w:hAnsi="Arial" w:cs="Arial"/>
          <w:lang w:val="es-ES_tradnl"/>
        </w:rPr>
        <w:t xml:space="preserve">Fase de ensayo clínico </w:t>
      </w:r>
      <w:r w:rsidR="00151B2D" w:rsidRPr="003053F5">
        <w:rPr>
          <w:rFonts w:ascii="Arial" w:hAnsi="Arial" w:cs="Arial"/>
          <w:lang w:val="es-ES_tradnl"/>
        </w:rPr>
        <w:t>y características</w:t>
      </w:r>
    </w:p>
    <w:p w:rsidR="00092F0C" w:rsidRPr="003053F5" w:rsidRDefault="00A22F1E" w:rsidP="003053F5">
      <w:pPr>
        <w:numPr>
          <w:ilvl w:val="0"/>
          <w:numId w:val="3"/>
        </w:numPr>
        <w:jc w:val="both"/>
        <w:rPr>
          <w:rFonts w:ascii="Arial" w:hAnsi="Arial" w:cs="Arial"/>
          <w:lang w:val="es-ES_tradnl"/>
        </w:rPr>
      </w:pPr>
      <w:r w:rsidRPr="003053F5">
        <w:rPr>
          <w:rFonts w:ascii="Arial" w:hAnsi="Arial" w:cs="Arial"/>
          <w:lang w:val="es-ES_tradnl"/>
        </w:rPr>
        <w:t>¿Qué pilares básicos de los ensayos clínicos están presentes?</w:t>
      </w:r>
      <w:r w:rsidR="00092F0C" w:rsidRPr="003053F5">
        <w:rPr>
          <w:rFonts w:ascii="Arial" w:hAnsi="Arial" w:cs="Arial"/>
          <w:lang w:val="es-ES_tradnl"/>
        </w:rPr>
        <w:t xml:space="preserve"> Fundamente</w:t>
      </w:r>
    </w:p>
    <w:p w:rsidR="0059423D" w:rsidRPr="003053F5" w:rsidRDefault="0059423D" w:rsidP="003053F5">
      <w:pPr>
        <w:numPr>
          <w:ilvl w:val="0"/>
          <w:numId w:val="4"/>
        </w:numPr>
        <w:jc w:val="both"/>
        <w:rPr>
          <w:rFonts w:ascii="Arial" w:hAnsi="Arial" w:cs="Arial"/>
          <w:lang w:val="es-ES_tradnl"/>
        </w:rPr>
      </w:pPr>
      <w:r w:rsidRPr="003053F5">
        <w:rPr>
          <w:rFonts w:ascii="Arial" w:hAnsi="Arial" w:cs="Arial"/>
          <w:lang w:val="es-ES_tradnl"/>
        </w:rPr>
        <w:t>¿Cómo evaluaría el ensayo según la escala de JADAT</w:t>
      </w:r>
      <w:r w:rsidR="00151B2D" w:rsidRPr="003053F5">
        <w:rPr>
          <w:rFonts w:ascii="Arial" w:hAnsi="Arial" w:cs="Arial"/>
          <w:lang w:val="es-ES_tradnl"/>
        </w:rPr>
        <w:t xml:space="preserve"> modificada</w:t>
      </w:r>
      <w:r w:rsidRPr="003053F5">
        <w:rPr>
          <w:rFonts w:ascii="Arial" w:hAnsi="Arial" w:cs="Arial"/>
          <w:lang w:val="es-ES_tradnl"/>
        </w:rPr>
        <w:t>?</w:t>
      </w:r>
    </w:p>
    <w:p w:rsidR="0026199D" w:rsidRPr="003053F5" w:rsidRDefault="0026199D" w:rsidP="003053F5">
      <w:pPr>
        <w:jc w:val="both"/>
        <w:rPr>
          <w:rFonts w:ascii="Arial" w:hAnsi="Arial" w:cs="Arial"/>
          <w:b/>
          <w:caps/>
        </w:rPr>
      </w:pPr>
    </w:p>
    <w:p w:rsidR="00CC6A07" w:rsidRPr="003053F5" w:rsidRDefault="00CC6A07" w:rsidP="003053F5">
      <w:pPr>
        <w:jc w:val="both"/>
        <w:rPr>
          <w:rFonts w:ascii="Arial" w:hAnsi="Arial" w:cs="Arial"/>
          <w:lang w:val="es-ES_tradnl"/>
        </w:rPr>
      </w:pPr>
      <w:r w:rsidRPr="003053F5">
        <w:rPr>
          <w:rFonts w:ascii="Arial" w:hAnsi="Arial" w:cs="Arial"/>
          <w:lang w:val="es-ES_tradnl"/>
        </w:rPr>
        <w:t>:::::::::::::::::::::::::::::::::::::::::::::::::::::::::::::::::::::::::::::::::::::::::::::::::::::::::::::::::::::::::::::::::::::::::::::</w:t>
      </w:r>
    </w:p>
    <w:p w:rsidR="00CC6A07" w:rsidRPr="003053F5" w:rsidRDefault="00CC6A07" w:rsidP="003053F5">
      <w:pPr>
        <w:jc w:val="both"/>
        <w:rPr>
          <w:rFonts w:ascii="Arial" w:hAnsi="Arial" w:cs="Arial"/>
          <w:b/>
          <w:caps/>
        </w:rPr>
      </w:pPr>
      <w:r w:rsidRPr="003053F5">
        <w:rPr>
          <w:rFonts w:ascii="Arial" w:hAnsi="Arial" w:cs="Arial"/>
          <w:b/>
          <w:lang w:val="es-ES_tradnl"/>
        </w:rPr>
        <w:t>SITUACIÓN</w:t>
      </w:r>
      <w:r w:rsidRPr="003053F5">
        <w:rPr>
          <w:rFonts w:ascii="Arial" w:hAnsi="Arial" w:cs="Arial"/>
          <w:b/>
          <w:caps/>
        </w:rPr>
        <w:t xml:space="preserve"> 3</w:t>
      </w:r>
    </w:p>
    <w:p w:rsidR="00CC6A07" w:rsidRPr="003053F5" w:rsidRDefault="00CC6A07" w:rsidP="003053F5">
      <w:pPr>
        <w:jc w:val="both"/>
        <w:rPr>
          <w:rFonts w:ascii="Arial" w:hAnsi="Arial" w:cs="Arial"/>
          <w:b/>
          <w:caps/>
        </w:rPr>
      </w:pPr>
    </w:p>
    <w:p w:rsidR="00CA3A31" w:rsidRPr="003053F5" w:rsidRDefault="00CA3A31" w:rsidP="003053F5">
      <w:pPr>
        <w:jc w:val="both"/>
        <w:rPr>
          <w:rFonts w:ascii="Arial" w:hAnsi="Arial" w:cs="Arial"/>
        </w:rPr>
      </w:pPr>
      <w:r w:rsidRPr="003053F5">
        <w:rPr>
          <w:rFonts w:ascii="Arial" w:hAnsi="Arial" w:cs="Arial"/>
          <w:b/>
          <w:caps/>
        </w:rPr>
        <w:t xml:space="preserve">Deepbreath </w:t>
      </w:r>
      <w:r w:rsidR="004B657A" w:rsidRPr="003053F5">
        <w:rPr>
          <w:rFonts w:ascii="Arial" w:hAnsi="Arial" w:cs="Arial"/>
          <w:caps/>
        </w:rPr>
        <w:t>(</w:t>
      </w:r>
      <w:proofErr w:type="spellStart"/>
      <w:r w:rsidRPr="003053F5">
        <w:rPr>
          <w:rFonts w:ascii="Arial" w:hAnsi="Arial" w:cs="Arial"/>
        </w:rPr>
        <w:t>H</w:t>
      </w:r>
      <w:r w:rsidR="004B657A" w:rsidRPr="003053F5">
        <w:rPr>
          <w:rFonts w:ascii="Arial" w:hAnsi="Arial" w:cs="Arial"/>
        </w:rPr>
        <w:t>ospital</w:t>
      </w:r>
      <w:r w:rsidRPr="003053F5">
        <w:rPr>
          <w:rFonts w:ascii="Arial" w:hAnsi="Arial" w:cs="Arial"/>
        </w:rPr>
        <w:t>_Gran</w:t>
      </w:r>
      <w:proofErr w:type="spellEnd"/>
      <w:r w:rsidRPr="003053F5">
        <w:rPr>
          <w:rFonts w:ascii="Arial" w:hAnsi="Arial" w:cs="Arial"/>
        </w:rPr>
        <w:t xml:space="preserve"> Bretaña</w:t>
      </w:r>
      <w:r w:rsidR="004B657A" w:rsidRPr="003053F5">
        <w:rPr>
          <w:rFonts w:ascii="Arial" w:hAnsi="Arial" w:cs="Arial"/>
        </w:rPr>
        <w:t>)</w:t>
      </w:r>
      <w:r w:rsidRPr="003053F5">
        <w:rPr>
          <w:rFonts w:ascii="Arial" w:hAnsi="Arial" w:cs="Arial"/>
        </w:rPr>
        <w:t xml:space="preserve">, </w:t>
      </w:r>
      <w:r w:rsidRPr="003053F5">
        <w:rPr>
          <w:rFonts w:ascii="Arial" w:hAnsi="Arial" w:cs="Arial"/>
          <w:b/>
        </w:rPr>
        <w:t>ALVEOLI</w:t>
      </w:r>
      <w:r w:rsidR="004B657A" w:rsidRPr="003053F5">
        <w:rPr>
          <w:rFonts w:ascii="Arial" w:hAnsi="Arial" w:cs="Arial"/>
        </w:rPr>
        <w:t xml:space="preserve"> (</w:t>
      </w:r>
      <w:r w:rsidRPr="003053F5">
        <w:rPr>
          <w:rFonts w:ascii="Arial" w:hAnsi="Arial" w:cs="Arial"/>
        </w:rPr>
        <w:t>Clínica italiana</w:t>
      </w:r>
      <w:r w:rsidR="004B657A" w:rsidRPr="003053F5">
        <w:rPr>
          <w:rFonts w:ascii="Arial" w:hAnsi="Arial" w:cs="Arial"/>
        </w:rPr>
        <w:t>)</w:t>
      </w:r>
      <w:r w:rsidRPr="003053F5">
        <w:rPr>
          <w:rFonts w:ascii="Arial" w:hAnsi="Arial" w:cs="Arial"/>
        </w:rPr>
        <w:t xml:space="preserve"> y </w:t>
      </w:r>
      <w:r w:rsidRPr="003053F5">
        <w:rPr>
          <w:rFonts w:ascii="Arial" w:hAnsi="Arial" w:cs="Arial"/>
          <w:b/>
        </w:rPr>
        <w:t>SINAHOGO</w:t>
      </w:r>
      <w:r w:rsidR="004B657A" w:rsidRPr="003053F5">
        <w:rPr>
          <w:rFonts w:ascii="Arial" w:hAnsi="Arial" w:cs="Arial"/>
        </w:rPr>
        <w:t xml:space="preserve"> (</w:t>
      </w:r>
      <w:r w:rsidRPr="003053F5">
        <w:rPr>
          <w:rFonts w:ascii="Arial" w:hAnsi="Arial" w:cs="Arial"/>
        </w:rPr>
        <w:t>Hospital Coreano</w:t>
      </w:r>
      <w:r w:rsidR="004B657A" w:rsidRPr="003053F5">
        <w:rPr>
          <w:rFonts w:ascii="Arial" w:hAnsi="Arial" w:cs="Arial"/>
        </w:rPr>
        <w:t>)</w:t>
      </w:r>
    </w:p>
    <w:p w:rsidR="004B657A" w:rsidRPr="003053F5" w:rsidRDefault="009342A4" w:rsidP="003053F5">
      <w:pPr>
        <w:jc w:val="both"/>
        <w:rPr>
          <w:rFonts w:ascii="Arial" w:hAnsi="Arial" w:cs="Arial"/>
          <w:lang w:val="es-ES_tradnl"/>
        </w:rPr>
      </w:pPr>
      <w:r w:rsidRPr="003053F5">
        <w:rPr>
          <w:rFonts w:ascii="Arial" w:hAnsi="Arial" w:cs="Arial"/>
          <w:lang w:val="es-ES_tradnl"/>
        </w:rPr>
        <w:t>Se quiere</w:t>
      </w:r>
      <w:r w:rsidR="00CA3A31" w:rsidRPr="003053F5">
        <w:rPr>
          <w:rFonts w:ascii="Arial" w:hAnsi="Arial" w:cs="Arial"/>
          <w:lang w:val="es-ES_tradnl"/>
        </w:rPr>
        <w:t xml:space="preserve"> </w:t>
      </w:r>
      <w:r w:rsidR="004B657A" w:rsidRPr="003053F5">
        <w:rPr>
          <w:rFonts w:ascii="Arial" w:hAnsi="Arial" w:cs="Arial"/>
          <w:lang w:val="es-ES_tradnl"/>
        </w:rPr>
        <w:t xml:space="preserve">confirmar la eficacia del </w:t>
      </w:r>
      <w:r w:rsidR="00CA3A31" w:rsidRPr="003053F5">
        <w:rPr>
          <w:rFonts w:ascii="Arial" w:hAnsi="Arial" w:cs="Arial"/>
          <w:lang w:val="es-ES_tradnl"/>
        </w:rPr>
        <w:t xml:space="preserve">fármaco </w:t>
      </w:r>
      <w:proofErr w:type="spellStart"/>
      <w:r w:rsidR="00CC6A07" w:rsidRPr="003053F5">
        <w:rPr>
          <w:rFonts w:ascii="Arial" w:hAnsi="Arial" w:cs="Arial"/>
          <w:b/>
          <w:i/>
          <w:lang w:val="es-ES_tradnl"/>
        </w:rPr>
        <w:t>Conaire</w:t>
      </w:r>
      <w:proofErr w:type="spellEnd"/>
      <w:r w:rsidR="00CC6A07" w:rsidRPr="003053F5">
        <w:rPr>
          <w:rFonts w:ascii="Arial" w:hAnsi="Arial" w:cs="Arial"/>
          <w:i/>
          <w:lang w:val="es-ES_tradnl"/>
        </w:rPr>
        <w:t xml:space="preserve"> </w:t>
      </w:r>
      <w:r w:rsidR="00CA3A31" w:rsidRPr="003053F5">
        <w:rPr>
          <w:rFonts w:ascii="Arial" w:hAnsi="Arial" w:cs="Arial"/>
          <w:lang w:val="es-ES_tradnl"/>
        </w:rPr>
        <w:t xml:space="preserve">para el tratamiento </w:t>
      </w:r>
      <w:r w:rsidR="004B657A" w:rsidRPr="003053F5">
        <w:rPr>
          <w:rFonts w:ascii="Arial" w:hAnsi="Arial" w:cs="Arial"/>
          <w:lang w:val="es-ES_tradnl"/>
        </w:rPr>
        <w:t xml:space="preserve">de mantenimiento </w:t>
      </w:r>
      <w:r w:rsidR="00CA3A31" w:rsidRPr="003053F5">
        <w:rPr>
          <w:rFonts w:ascii="Arial" w:hAnsi="Arial" w:cs="Arial"/>
          <w:lang w:val="es-ES_tradnl"/>
        </w:rPr>
        <w:t xml:space="preserve">del asma bronquial en pacientes </w:t>
      </w:r>
      <w:r w:rsidR="005D51C3" w:rsidRPr="003053F5">
        <w:rPr>
          <w:rFonts w:ascii="Arial" w:hAnsi="Arial" w:cs="Arial"/>
          <w:lang w:val="es-ES_tradnl"/>
        </w:rPr>
        <w:t xml:space="preserve">adultos </w:t>
      </w:r>
      <w:r w:rsidR="00CA3A31" w:rsidRPr="003053F5">
        <w:rPr>
          <w:rFonts w:ascii="Arial" w:hAnsi="Arial" w:cs="Arial"/>
          <w:lang w:val="es-ES_tradnl"/>
        </w:rPr>
        <w:t xml:space="preserve">clasificados como severos persistentes, </w:t>
      </w:r>
      <w:r w:rsidR="00A259E0" w:rsidRPr="003053F5">
        <w:rPr>
          <w:rFonts w:ascii="Arial" w:hAnsi="Arial" w:cs="Arial"/>
          <w:lang w:val="es-ES_tradnl"/>
        </w:rPr>
        <w:t>s</w:t>
      </w:r>
      <w:r w:rsidR="004B657A" w:rsidRPr="003053F5">
        <w:rPr>
          <w:rFonts w:ascii="Arial" w:hAnsi="Arial" w:cs="Arial"/>
          <w:lang w:val="es-ES_tradnl"/>
        </w:rPr>
        <w:t>e administrará</w:t>
      </w:r>
      <w:r w:rsidR="00CA3A31" w:rsidRPr="003053F5">
        <w:rPr>
          <w:rFonts w:ascii="Arial" w:hAnsi="Arial" w:cs="Arial"/>
          <w:lang w:val="es-ES_tradnl"/>
        </w:rPr>
        <w:t xml:space="preserve"> en forma de aerosol</w:t>
      </w:r>
      <w:r w:rsidR="004B657A" w:rsidRPr="003053F5">
        <w:rPr>
          <w:rFonts w:ascii="Arial" w:hAnsi="Arial" w:cs="Arial"/>
          <w:lang w:val="es-ES_tradnl"/>
        </w:rPr>
        <w:t xml:space="preserve"> dos veces al día y en jarabe tres veces al día</w:t>
      </w:r>
      <w:r w:rsidRPr="003053F5">
        <w:rPr>
          <w:rFonts w:ascii="Arial" w:hAnsi="Arial" w:cs="Arial"/>
          <w:lang w:val="es-ES_tradnl"/>
        </w:rPr>
        <w:t xml:space="preserve"> a 2500 pacientes durante 2 años</w:t>
      </w:r>
      <w:r w:rsidR="004B657A" w:rsidRPr="003053F5">
        <w:rPr>
          <w:rFonts w:ascii="Arial" w:hAnsi="Arial" w:cs="Arial"/>
          <w:lang w:val="es-ES_tradnl"/>
        </w:rPr>
        <w:t xml:space="preserve">. </w:t>
      </w:r>
      <w:r w:rsidRPr="003053F5">
        <w:rPr>
          <w:rFonts w:ascii="Arial" w:hAnsi="Arial" w:cs="Arial"/>
          <w:lang w:val="es-ES_tradnl"/>
        </w:rPr>
        <w:t xml:space="preserve">Se comparará con fluticasona inhalada. </w:t>
      </w:r>
      <w:r w:rsidR="004B657A" w:rsidRPr="003053F5">
        <w:rPr>
          <w:rFonts w:ascii="Arial" w:hAnsi="Arial" w:cs="Arial"/>
          <w:lang w:val="es-ES_tradnl"/>
        </w:rPr>
        <w:t xml:space="preserve">Algunos de estos </w:t>
      </w:r>
      <w:r w:rsidR="004B657A" w:rsidRPr="003053F5">
        <w:rPr>
          <w:rFonts w:ascii="Arial" w:hAnsi="Arial" w:cs="Arial"/>
          <w:lang w:val="es-ES_tradnl"/>
        </w:rPr>
        <w:lastRenderedPageBreak/>
        <w:t>pacientes son</w:t>
      </w:r>
      <w:r w:rsidR="005D51C3" w:rsidRPr="003053F5">
        <w:rPr>
          <w:rFonts w:ascii="Arial" w:hAnsi="Arial" w:cs="Arial"/>
          <w:lang w:val="es-ES_tradnl"/>
        </w:rPr>
        <w:t>,</w:t>
      </w:r>
      <w:r w:rsidR="004B657A" w:rsidRPr="003053F5">
        <w:rPr>
          <w:rFonts w:ascii="Arial" w:hAnsi="Arial" w:cs="Arial"/>
          <w:lang w:val="es-ES_tradnl"/>
        </w:rPr>
        <w:t xml:space="preserve"> además de asmáticos, hipertensos y otros diabéticos</w:t>
      </w:r>
      <w:r w:rsidR="00BB4D26" w:rsidRPr="003053F5">
        <w:rPr>
          <w:rFonts w:ascii="Arial" w:hAnsi="Arial" w:cs="Arial"/>
          <w:lang w:val="es-ES_tradnl"/>
        </w:rPr>
        <w:t>,</w:t>
      </w:r>
      <w:r w:rsidR="004B657A" w:rsidRPr="003053F5">
        <w:rPr>
          <w:rFonts w:ascii="Arial" w:hAnsi="Arial" w:cs="Arial"/>
          <w:lang w:val="es-ES_tradnl"/>
        </w:rPr>
        <w:t xml:space="preserve"> por lo que llevan tratamiento concomitante para estas enfermedades. Algunos son fumadores y otros no. </w:t>
      </w:r>
      <w:r w:rsidR="00BB4D26" w:rsidRPr="003053F5">
        <w:rPr>
          <w:rFonts w:ascii="Arial" w:hAnsi="Arial" w:cs="Arial"/>
          <w:lang w:val="es-ES_tradnl"/>
        </w:rPr>
        <w:t xml:space="preserve"> Como el fármaco contiene una catecolamina entre sus principios activos, se quiere conocer la </w:t>
      </w:r>
      <w:r w:rsidR="00151B2D" w:rsidRPr="003053F5">
        <w:rPr>
          <w:rFonts w:ascii="Arial" w:hAnsi="Arial" w:cs="Arial"/>
          <w:lang w:val="es-ES_tradnl"/>
        </w:rPr>
        <w:t>seguridad</w:t>
      </w:r>
      <w:r w:rsidR="00BB4D26" w:rsidRPr="003053F5">
        <w:rPr>
          <w:rFonts w:ascii="Arial" w:hAnsi="Arial" w:cs="Arial"/>
          <w:lang w:val="es-ES_tradnl"/>
        </w:rPr>
        <w:t xml:space="preserve"> a largo plazo sobre el sistema cardiovascular.</w:t>
      </w:r>
    </w:p>
    <w:p w:rsidR="00BB4D26" w:rsidRPr="003053F5" w:rsidRDefault="00BB4D26" w:rsidP="003053F5">
      <w:pPr>
        <w:jc w:val="both"/>
        <w:rPr>
          <w:rFonts w:ascii="Arial" w:hAnsi="Arial" w:cs="Arial"/>
          <w:b/>
          <w:lang w:val="es-ES_tradnl"/>
        </w:rPr>
      </w:pPr>
      <w:r w:rsidRPr="003053F5">
        <w:rPr>
          <w:rFonts w:ascii="Arial" w:hAnsi="Arial" w:cs="Arial"/>
          <w:b/>
          <w:lang w:val="es-ES_tradnl"/>
        </w:rPr>
        <w:t xml:space="preserve">Diga: </w:t>
      </w:r>
    </w:p>
    <w:p w:rsidR="005F3F3E" w:rsidRPr="003053F5" w:rsidRDefault="005F3F3E" w:rsidP="003053F5">
      <w:pPr>
        <w:numPr>
          <w:ilvl w:val="0"/>
          <w:numId w:val="2"/>
        </w:numPr>
        <w:jc w:val="both"/>
        <w:rPr>
          <w:rFonts w:ascii="Arial" w:hAnsi="Arial" w:cs="Arial"/>
          <w:lang w:val="es-ES_tradnl"/>
        </w:rPr>
      </w:pPr>
      <w:r w:rsidRPr="003053F5">
        <w:rPr>
          <w:rFonts w:ascii="Arial" w:hAnsi="Arial" w:cs="Arial"/>
          <w:lang w:val="es-ES_tradnl"/>
        </w:rPr>
        <w:t xml:space="preserve">Fase de ensayo clínico </w:t>
      </w:r>
      <w:r w:rsidR="00151B2D" w:rsidRPr="003053F5">
        <w:rPr>
          <w:rFonts w:ascii="Arial" w:hAnsi="Arial" w:cs="Arial"/>
          <w:lang w:val="es-ES_tradnl"/>
        </w:rPr>
        <w:t>y características</w:t>
      </w:r>
    </w:p>
    <w:p w:rsidR="00092F0C" w:rsidRPr="003053F5" w:rsidRDefault="00A22F1E" w:rsidP="003053F5">
      <w:pPr>
        <w:numPr>
          <w:ilvl w:val="0"/>
          <w:numId w:val="3"/>
        </w:numPr>
        <w:jc w:val="both"/>
        <w:rPr>
          <w:rFonts w:ascii="Arial" w:hAnsi="Arial" w:cs="Arial"/>
          <w:lang w:val="es-ES_tradnl"/>
        </w:rPr>
      </w:pPr>
      <w:r w:rsidRPr="003053F5">
        <w:rPr>
          <w:rFonts w:ascii="Arial" w:hAnsi="Arial" w:cs="Arial"/>
          <w:lang w:val="es-ES_tradnl"/>
        </w:rPr>
        <w:t>¿Qué pilares básicos de los ensayos clínicos están presentes?</w:t>
      </w:r>
      <w:r w:rsidR="00092F0C" w:rsidRPr="003053F5">
        <w:rPr>
          <w:rFonts w:ascii="Arial" w:hAnsi="Arial" w:cs="Arial"/>
          <w:lang w:val="es-ES_tradnl"/>
        </w:rPr>
        <w:t xml:space="preserve"> Fundamente</w:t>
      </w:r>
    </w:p>
    <w:p w:rsidR="0059423D" w:rsidRPr="003053F5" w:rsidRDefault="0059423D" w:rsidP="003053F5">
      <w:pPr>
        <w:numPr>
          <w:ilvl w:val="0"/>
          <w:numId w:val="2"/>
        </w:numPr>
        <w:jc w:val="both"/>
        <w:rPr>
          <w:rFonts w:ascii="Arial" w:hAnsi="Arial" w:cs="Arial"/>
          <w:lang w:val="es-ES_tradnl"/>
        </w:rPr>
      </w:pPr>
      <w:r w:rsidRPr="003053F5">
        <w:rPr>
          <w:rFonts w:ascii="Arial" w:hAnsi="Arial" w:cs="Arial"/>
          <w:lang w:val="es-ES_tradnl"/>
        </w:rPr>
        <w:t>¿Cómo evaluaría el ensayo según la escala de JADAT</w:t>
      </w:r>
      <w:r w:rsidR="00151B2D" w:rsidRPr="003053F5">
        <w:rPr>
          <w:rFonts w:ascii="Arial" w:hAnsi="Arial" w:cs="Arial"/>
          <w:lang w:val="es-ES_tradnl"/>
        </w:rPr>
        <w:t xml:space="preserve"> modificada</w:t>
      </w:r>
      <w:r w:rsidRPr="003053F5">
        <w:rPr>
          <w:rFonts w:ascii="Arial" w:hAnsi="Arial" w:cs="Arial"/>
          <w:lang w:val="es-ES_tradnl"/>
        </w:rPr>
        <w:t>?</w:t>
      </w:r>
    </w:p>
    <w:p w:rsidR="008A3100" w:rsidRPr="003053F5" w:rsidRDefault="008A3100" w:rsidP="003053F5">
      <w:pPr>
        <w:jc w:val="both"/>
        <w:rPr>
          <w:rFonts w:ascii="Arial" w:hAnsi="Arial" w:cs="Arial"/>
          <w:lang w:val="es-ES_tradnl"/>
        </w:rPr>
      </w:pPr>
    </w:p>
    <w:p w:rsidR="00CC6A07" w:rsidRPr="003053F5" w:rsidRDefault="00CC6A07" w:rsidP="003053F5">
      <w:pPr>
        <w:jc w:val="both"/>
        <w:rPr>
          <w:rFonts w:ascii="Arial" w:hAnsi="Arial" w:cs="Arial"/>
          <w:lang w:val="es-ES_tradnl"/>
        </w:rPr>
      </w:pPr>
      <w:r w:rsidRPr="003053F5">
        <w:rPr>
          <w:rFonts w:ascii="Arial" w:hAnsi="Arial" w:cs="Arial"/>
          <w:lang w:val="es-ES_tradnl"/>
        </w:rPr>
        <w:t>:::::::::::::::::::::::::::::::::::::::::::::::::::::::::::::::::::::::::::::::::::::::::::::::::::::::::::::::::::::::::::::::::::::::::::::</w:t>
      </w:r>
    </w:p>
    <w:p w:rsidR="001D4267" w:rsidRPr="003053F5" w:rsidRDefault="001D4267" w:rsidP="003053F5">
      <w:pPr>
        <w:jc w:val="both"/>
        <w:rPr>
          <w:rFonts w:ascii="Arial" w:hAnsi="Arial" w:cs="Arial"/>
          <w:lang w:val="es-ES_tradnl"/>
        </w:rPr>
      </w:pPr>
    </w:p>
    <w:p w:rsidR="00CC6A07" w:rsidRPr="003053F5" w:rsidRDefault="00CC6A07" w:rsidP="003053F5">
      <w:pPr>
        <w:jc w:val="both"/>
        <w:rPr>
          <w:rFonts w:ascii="Arial" w:hAnsi="Arial" w:cs="Arial"/>
          <w:b/>
          <w:lang w:val="es-ES_tradnl"/>
        </w:rPr>
      </w:pPr>
      <w:r w:rsidRPr="003053F5">
        <w:rPr>
          <w:rFonts w:ascii="Arial" w:hAnsi="Arial" w:cs="Arial"/>
          <w:b/>
          <w:lang w:val="es-ES_tradnl"/>
        </w:rPr>
        <w:t>SITUACIÓN 4</w:t>
      </w:r>
    </w:p>
    <w:p w:rsidR="008A3100" w:rsidRPr="003053F5" w:rsidRDefault="008A3100" w:rsidP="003053F5">
      <w:pPr>
        <w:jc w:val="both"/>
        <w:rPr>
          <w:rFonts w:ascii="Arial" w:hAnsi="Arial" w:cs="Arial"/>
          <w:lang w:val="es-ES_tradnl"/>
        </w:rPr>
      </w:pPr>
      <w:r w:rsidRPr="003053F5">
        <w:rPr>
          <w:rFonts w:ascii="Arial" w:hAnsi="Arial" w:cs="Arial"/>
          <w:b/>
          <w:lang w:val="es-ES_tradnl"/>
        </w:rPr>
        <w:t>DASLINFO</w:t>
      </w:r>
      <w:r w:rsidRPr="003053F5">
        <w:rPr>
          <w:rFonts w:ascii="Arial" w:hAnsi="Arial" w:cs="Arial"/>
          <w:lang w:val="es-ES_tradnl"/>
        </w:rPr>
        <w:t xml:space="preserve"> (Clínica alemana) </w:t>
      </w:r>
    </w:p>
    <w:p w:rsidR="008A3100" w:rsidRPr="003053F5" w:rsidRDefault="008A3100" w:rsidP="003053F5">
      <w:pPr>
        <w:jc w:val="both"/>
        <w:rPr>
          <w:rFonts w:ascii="Arial" w:hAnsi="Arial" w:cs="Arial"/>
          <w:lang w:val="es-ES_tradnl"/>
        </w:rPr>
      </w:pPr>
      <w:r w:rsidRPr="003053F5">
        <w:rPr>
          <w:rFonts w:ascii="Arial" w:hAnsi="Arial" w:cs="Arial"/>
          <w:lang w:val="es-ES_tradnl"/>
        </w:rPr>
        <w:t>Se quiere estudiar el efecto del nuevo fármaco</w:t>
      </w:r>
      <w:r w:rsidR="00805306" w:rsidRPr="003053F5">
        <w:rPr>
          <w:rFonts w:ascii="Arial" w:hAnsi="Arial" w:cs="Arial"/>
          <w:lang w:val="es-ES_tradnl"/>
        </w:rPr>
        <w:t xml:space="preserve"> </w:t>
      </w:r>
      <w:proofErr w:type="spellStart"/>
      <w:r w:rsidR="00DE631E" w:rsidRPr="003053F5">
        <w:rPr>
          <w:rFonts w:ascii="Arial" w:hAnsi="Arial" w:cs="Arial"/>
          <w:b/>
          <w:i/>
          <w:lang w:val="es-ES_tradnl"/>
        </w:rPr>
        <w:t>Aidstop</w:t>
      </w:r>
      <w:proofErr w:type="spellEnd"/>
      <w:r w:rsidR="00805306" w:rsidRPr="003053F5">
        <w:rPr>
          <w:rFonts w:ascii="Arial" w:hAnsi="Arial" w:cs="Arial"/>
          <w:lang w:val="es-ES_tradnl"/>
        </w:rPr>
        <w:t xml:space="preserve">, antirretroviral cuyo mecanismo de acción se basa en inhibir la fusión del VIH con la proteína CD4, impidiendo de esta forma la entrada del virus </w:t>
      </w:r>
      <w:r w:rsidR="00DD72E0" w:rsidRPr="003053F5">
        <w:rPr>
          <w:rFonts w:ascii="Arial" w:hAnsi="Arial" w:cs="Arial"/>
          <w:lang w:val="es-ES_tradnl"/>
        </w:rPr>
        <w:t xml:space="preserve">del SIDA </w:t>
      </w:r>
      <w:r w:rsidR="00805306" w:rsidRPr="003053F5">
        <w:rPr>
          <w:rFonts w:ascii="Arial" w:hAnsi="Arial" w:cs="Arial"/>
          <w:lang w:val="es-ES_tradnl"/>
        </w:rPr>
        <w:t xml:space="preserve">a la célula. </w:t>
      </w:r>
      <w:r w:rsidR="00DD72E0" w:rsidRPr="003053F5">
        <w:rPr>
          <w:rFonts w:ascii="Arial" w:hAnsi="Arial" w:cs="Arial"/>
          <w:lang w:val="es-ES_tradnl"/>
        </w:rPr>
        <w:t>El fármaco se administrará en dos dosis: 250 mg c/12 h y 500 mg c/12h</w:t>
      </w:r>
      <w:r w:rsidR="00A22F1E" w:rsidRPr="003053F5">
        <w:rPr>
          <w:rFonts w:ascii="Arial" w:hAnsi="Arial" w:cs="Arial"/>
          <w:lang w:val="es-ES_tradnl"/>
        </w:rPr>
        <w:t xml:space="preserve"> a 80 pacientes VIH</w:t>
      </w:r>
      <w:r w:rsidR="004A220F" w:rsidRPr="003053F5">
        <w:rPr>
          <w:rFonts w:ascii="Arial" w:hAnsi="Arial" w:cs="Arial"/>
          <w:lang w:val="es-ES_tradnl"/>
        </w:rPr>
        <w:t xml:space="preserve"> positivos</w:t>
      </w:r>
      <w:r w:rsidR="00A22F1E" w:rsidRPr="003053F5">
        <w:rPr>
          <w:rFonts w:ascii="Arial" w:hAnsi="Arial" w:cs="Arial"/>
          <w:lang w:val="es-ES_tradnl"/>
        </w:rPr>
        <w:t xml:space="preserve"> durante 9 meses</w:t>
      </w:r>
      <w:r w:rsidR="00DD72E0" w:rsidRPr="003053F5">
        <w:rPr>
          <w:rFonts w:ascii="Arial" w:hAnsi="Arial" w:cs="Arial"/>
          <w:lang w:val="es-ES_tradnl"/>
        </w:rPr>
        <w:t xml:space="preserve">. </w:t>
      </w:r>
      <w:r w:rsidR="002E62F4" w:rsidRPr="003053F5">
        <w:rPr>
          <w:rFonts w:ascii="Arial" w:hAnsi="Arial" w:cs="Arial"/>
          <w:lang w:val="es-ES_tradnl"/>
        </w:rPr>
        <w:t>Se medirá la carga viral y el conteo de linfocitos T C</w:t>
      </w:r>
      <w:r w:rsidR="005A558B" w:rsidRPr="003053F5">
        <w:rPr>
          <w:rFonts w:ascii="Arial" w:hAnsi="Arial" w:cs="Arial"/>
          <w:lang w:val="es-ES_tradnl"/>
        </w:rPr>
        <w:t>D</w:t>
      </w:r>
      <w:r w:rsidR="002E62F4" w:rsidRPr="003053F5">
        <w:rPr>
          <w:rFonts w:ascii="Arial" w:hAnsi="Arial" w:cs="Arial"/>
          <w:lang w:val="es-ES_tradnl"/>
        </w:rPr>
        <w:t>4</w:t>
      </w:r>
      <w:r w:rsidR="00DD72E0" w:rsidRPr="003053F5">
        <w:rPr>
          <w:rFonts w:ascii="Arial" w:hAnsi="Arial" w:cs="Arial"/>
          <w:lang w:val="es-ES_tradnl"/>
        </w:rPr>
        <w:t>. Se vigilará la aparición de toxicidad hematológica o de otro tipo.</w:t>
      </w:r>
    </w:p>
    <w:p w:rsidR="009806C6" w:rsidRPr="003053F5" w:rsidRDefault="009806C6" w:rsidP="003053F5">
      <w:pPr>
        <w:jc w:val="both"/>
        <w:rPr>
          <w:rFonts w:ascii="Arial" w:hAnsi="Arial" w:cs="Arial"/>
          <w:b/>
          <w:lang w:val="es-ES_tradnl"/>
        </w:rPr>
      </w:pPr>
      <w:r w:rsidRPr="003053F5">
        <w:rPr>
          <w:rFonts w:ascii="Arial" w:hAnsi="Arial" w:cs="Arial"/>
          <w:b/>
          <w:lang w:val="es-ES_tradnl"/>
        </w:rPr>
        <w:t xml:space="preserve">Diga: </w:t>
      </w:r>
    </w:p>
    <w:p w:rsidR="005F3F3E" w:rsidRPr="003053F5" w:rsidRDefault="005F3F3E" w:rsidP="003053F5">
      <w:pPr>
        <w:numPr>
          <w:ilvl w:val="0"/>
          <w:numId w:val="3"/>
        </w:numPr>
        <w:jc w:val="both"/>
        <w:rPr>
          <w:rFonts w:ascii="Arial" w:hAnsi="Arial" w:cs="Arial"/>
          <w:lang w:val="es-ES_tradnl"/>
        </w:rPr>
      </w:pPr>
      <w:r w:rsidRPr="003053F5">
        <w:rPr>
          <w:rFonts w:ascii="Arial" w:hAnsi="Arial" w:cs="Arial"/>
          <w:lang w:val="es-ES_tradnl"/>
        </w:rPr>
        <w:t xml:space="preserve">Fase de ensayo clínico </w:t>
      </w:r>
      <w:r w:rsidR="00151B2D" w:rsidRPr="003053F5">
        <w:rPr>
          <w:rFonts w:ascii="Arial" w:hAnsi="Arial" w:cs="Arial"/>
          <w:lang w:val="es-ES_tradnl"/>
        </w:rPr>
        <w:t>y características</w:t>
      </w:r>
    </w:p>
    <w:p w:rsidR="00A22F1E" w:rsidRPr="003053F5" w:rsidRDefault="00A22F1E" w:rsidP="003053F5">
      <w:pPr>
        <w:numPr>
          <w:ilvl w:val="0"/>
          <w:numId w:val="3"/>
        </w:numPr>
        <w:jc w:val="both"/>
        <w:rPr>
          <w:rFonts w:ascii="Arial" w:hAnsi="Arial" w:cs="Arial"/>
          <w:lang w:val="es-ES_tradnl"/>
        </w:rPr>
      </w:pPr>
      <w:r w:rsidRPr="003053F5">
        <w:rPr>
          <w:rFonts w:ascii="Arial" w:hAnsi="Arial" w:cs="Arial"/>
          <w:lang w:val="es-ES_tradnl"/>
        </w:rPr>
        <w:t>¿Qué pilares básicos de los ensayos clínicos están presentes?</w:t>
      </w:r>
      <w:r w:rsidR="00092F0C" w:rsidRPr="003053F5">
        <w:rPr>
          <w:rFonts w:ascii="Arial" w:hAnsi="Arial" w:cs="Arial"/>
          <w:lang w:val="es-ES_tradnl"/>
        </w:rPr>
        <w:t xml:space="preserve"> Fundamente</w:t>
      </w:r>
    </w:p>
    <w:p w:rsidR="0059423D" w:rsidRPr="003053F5" w:rsidRDefault="0059423D" w:rsidP="003053F5">
      <w:pPr>
        <w:numPr>
          <w:ilvl w:val="0"/>
          <w:numId w:val="3"/>
        </w:numPr>
        <w:jc w:val="both"/>
        <w:rPr>
          <w:rFonts w:ascii="Arial" w:hAnsi="Arial" w:cs="Arial"/>
          <w:lang w:val="es-ES_tradnl"/>
        </w:rPr>
      </w:pPr>
      <w:r w:rsidRPr="003053F5">
        <w:rPr>
          <w:rFonts w:ascii="Arial" w:hAnsi="Arial" w:cs="Arial"/>
          <w:lang w:val="es-ES_tradnl"/>
        </w:rPr>
        <w:t>¿Cómo evaluaría el ensayo según la escala de JADAT</w:t>
      </w:r>
      <w:r w:rsidR="00151B2D" w:rsidRPr="003053F5">
        <w:rPr>
          <w:rFonts w:ascii="Arial" w:hAnsi="Arial" w:cs="Arial"/>
          <w:lang w:val="es-ES_tradnl"/>
        </w:rPr>
        <w:t xml:space="preserve"> modificada</w:t>
      </w:r>
      <w:r w:rsidRPr="003053F5">
        <w:rPr>
          <w:rFonts w:ascii="Arial" w:hAnsi="Arial" w:cs="Arial"/>
          <w:lang w:val="es-ES_tradnl"/>
        </w:rPr>
        <w:t>?</w:t>
      </w:r>
    </w:p>
    <w:p w:rsidR="009806C6" w:rsidRPr="003053F5" w:rsidRDefault="009806C6" w:rsidP="003053F5">
      <w:pPr>
        <w:jc w:val="both"/>
        <w:rPr>
          <w:rFonts w:ascii="Arial" w:hAnsi="Arial" w:cs="Arial"/>
          <w:lang w:val="es-ES_tradnl"/>
        </w:rPr>
      </w:pPr>
    </w:p>
    <w:p w:rsidR="002E62F4" w:rsidRPr="003053F5" w:rsidRDefault="002E62F4" w:rsidP="003053F5">
      <w:pPr>
        <w:autoSpaceDE w:val="0"/>
        <w:autoSpaceDN w:val="0"/>
        <w:adjustRightInd w:val="0"/>
        <w:jc w:val="both"/>
        <w:rPr>
          <w:rFonts w:ascii="Arial" w:hAnsi="Arial" w:cs="Arial"/>
        </w:rPr>
      </w:pPr>
      <w:r w:rsidRPr="003053F5">
        <w:rPr>
          <w:rFonts w:ascii="Arial" w:hAnsi="Arial" w:cs="Arial"/>
          <w:b/>
          <w:lang w:val="es-ES_tradnl"/>
        </w:rPr>
        <w:t>Nota:</w:t>
      </w:r>
      <w:r w:rsidRPr="003053F5">
        <w:rPr>
          <w:rFonts w:ascii="Arial" w:hAnsi="Arial" w:cs="Arial"/>
          <w:lang w:val="es-ES_tradnl"/>
        </w:rPr>
        <w:t xml:space="preserve"> </w:t>
      </w:r>
      <w:r w:rsidRPr="003053F5">
        <w:rPr>
          <w:rFonts w:ascii="Arial" w:hAnsi="Arial" w:cs="Arial"/>
        </w:rPr>
        <w:t xml:space="preserve">Se entiende por éxito </w:t>
      </w:r>
      <w:r w:rsidR="00DD72E0" w:rsidRPr="003053F5">
        <w:rPr>
          <w:rFonts w:ascii="Arial" w:hAnsi="Arial" w:cs="Arial"/>
        </w:rPr>
        <w:t xml:space="preserve">del tratamiento </w:t>
      </w:r>
      <w:r w:rsidRPr="003053F5">
        <w:rPr>
          <w:rFonts w:ascii="Arial" w:hAnsi="Arial" w:cs="Arial"/>
        </w:rPr>
        <w:t xml:space="preserve">la disminución de la carga viral a menos de 50 copias/ml y por fallo el incremento a más de 5000 copias/ml </w:t>
      </w:r>
    </w:p>
    <w:p w:rsidR="0026199D" w:rsidRPr="003053F5" w:rsidRDefault="002E62F4" w:rsidP="003053F5">
      <w:pPr>
        <w:autoSpaceDE w:val="0"/>
        <w:autoSpaceDN w:val="0"/>
        <w:adjustRightInd w:val="0"/>
        <w:jc w:val="both"/>
        <w:rPr>
          <w:rFonts w:ascii="Arial" w:hAnsi="Arial" w:cs="Arial"/>
        </w:rPr>
      </w:pPr>
      <w:r w:rsidRPr="003053F5">
        <w:rPr>
          <w:rFonts w:ascii="Arial" w:hAnsi="Arial" w:cs="Arial"/>
        </w:rPr>
        <w:t xml:space="preserve">Se entiende por éxito </w:t>
      </w:r>
      <w:r w:rsidR="00DD72E0" w:rsidRPr="003053F5">
        <w:rPr>
          <w:rFonts w:ascii="Arial" w:hAnsi="Arial" w:cs="Arial"/>
        </w:rPr>
        <w:t xml:space="preserve">del tratamiento </w:t>
      </w:r>
      <w:r w:rsidRPr="003053F5">
        <w:rPr>
          <w:rFonts w:ascii="Arial" w:hAnsi="Arial" w:cs="Arial"/>
        </w:rPr>
        <w:t xml:space="preserve">el aumento por encima de 200 o 500 </w:t>
      </w:r>
      <w:proofErr w:type="spellStart"/>
      <w:r w:rsidRPr="003053F5">
        <w:rPr>
          <w:rFonts w:ascii="Arial" w:hAnsi="Arial" w:cs="Arial"/>
        </w:rPr>
        <w:t>celulas</w:t>
      </w:r>
      <w:proofErr w:type="spellEnd"/>
      <w:r w:rsidRPr="003053F5">
        <w:rPr>
          <w:rFonts w:ascii="Arial" w:hAnsi="Arial" w:cs="Arial"/>
        </w:rPr>
        <w:t>/</w:t>
      </w:r>
      <w:proofErr w:type="spellStart"/>
      <w:r w:rsidRPr="003053F5">
        <w:rPr>
          <w:rFonts w:ascii="Arial" w:hAnsi="Arial" w:cs="Arial"/>
        </w:rPr>
        <w:t>μL</w:t>
      </w:r>
      <w:proofErr w:type="spellEnd"/>
      <w:r w:rsidRPr="003053F5">
        <w:rPr>
          <w:rFonts w:ascii="Arial" w:hAnsi="Arial" w:cs="Arial"/>
        </w:rPr>
        <w:t xml:space="preserve"> de CD4. Y por falla la ausencia de un aumento o una disminución de la cuenta de las células CD4.</w:t>
      </w:r>
    </w:p>
    <w:p w:rsidR="00B52E04" w:rsidRPr="003053F5" w:rsidRDefault="00B52E04" w:rsidP="003053F5">
      <w:pPr>
        <w:autoSpaceDE w:val="0"/>
        <w:autoSpaceDN w:val="0"/>
        <w:adjustRightInd w:val="0"/>
        <w:jc w:val="both"/>
        <w:rPr>
          <w:rFonts w:ascii="Arial" w:hAnsi="Arial" w:cs="Arial"/>
          <w:lang w:val="es-ES_tradnl"/>
        </w:rPr>
      </w:pPr>
    </w:p>
    <w:p w:rsidR="002574D0" w:rsidRPr="003053F5" w:rsidRDefault="002574D0" w:rsidP="003053F5">
      <w:pPr>
        <w:autoSpaceDE w:val="0"/>
        <w:autoSpaceDN w:val="0"/>
        <w:adjustRightInd w:val="0"/>
        <w:jc w:val="both"/>
        <w:rPr>
          <w:rFonts w:ascii="Arial" w:hAnsi="Arial" w:cs="Arial"/>
          <w:lang w:val="es-ES_tradnl"/>
        </w:rPr>
      </w:pPr>
    </w:p>
    <w:sectPr w:rsidR="002574D0" w:rsidRPr="003053F5" w:rsidSect="00B52D6C">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14E"/>
    <w:multiLevelType w:val="hybridMultilevel"/>
    <w:tmpl w:val="1154156A"/>
    <w:lvl w:ilvl="0" w:tplc="0409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C6C3B5A"/>
    <w:multiLevelType w:val="hybridMultilevel"/>
    <w:tmpl w:val="7B3C1108"/>
    <w:lvl w:ilvl="0" w:tplc="04090017">
      <w:start w:val="1"/>
      <w:numFmt w:val="lowerLetter"/>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33B27697"/>
    <w:multiLevelType w:val="hybridMultilevel"/>
    <w:tmpl w:val="A8F2E342"/>
    <w:lvl w:ilvl="0" w:tplc="0409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36C8424E"/>
    <w:multiLevelType w:val="singleLevel"/>
    <w:tmpl w:val="12720CC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73F121B"/>
    <w:multiLevelType w:val="hybridMultilevel"/>
    <w:tmpl w:val="9EC6AEB2"/>
    <w:lvl w:ilvl="0" w:tplc="0409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7388068B"/>
    <w:multiLevelType w:val="hybridMultilevel"/>
    <w:tmpl w:val="6B540E28"/>
    <w:lvl w:ilvl="0" w:tplc="0409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780D52B2"/>
    <w:multiLevelType w:val="hybridMultilevel"/>
    <w:tmpl w:val="6E94A4C6"/>
    <w:lvl w:ilvl="0" w:tplc="81BEF710">
      <w:start w:val="1"/>
      <w:numFmt w:val="bullet"/>
      <w:lvlText w:val=""/>
      <w:lvlJc w:val="left"/>
      <w:pPr>
        <w:tabs>
          <w:tab w:val="num" w:pos="227"/>
        </w:tabs>
        <w:ind w:left="227" w:hanging="227"/>
      </w:pPr>
      <w:rPr>
        <w:rFonts w:ascii="Symbol" w:eastAsia="PMingLiU"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C2"/>
    <w:rsid w:val="00092F0C"/>
    <w:rsid w:val="000943C2"/>
    <w:rsid w:val="000F4F05"/>
    <w:rsid w:val="00102A0F"/>
    <w:rsid w:val="00116B51"/>
    <w:rsid w:val="00142007"/>
    <w:rsid w:val="00151B2D"/>
    <w:rsid w:val="001B6385"/>
    <w:rsid w:val="001D4267"/>
    <w:rsid w:val="001E0565"/>
    <w:rsid w:val="001E4717"/>
    <w:rsid w:val="002462E7"/>
    <w:rsid w:val="002574D0"/>
    <w:rsid w:val="0026199D"/>
    <w:rsid w:val="002921C7"/>
    <w:rsid w:val="002A6338"/>
    <w:rsid w:val="002D255E"/>
    <w:rsid w:val="002E4851"/>
    <w:rsid w:val="002E62F4"/>
    <w:rsid w:val="0030095D"/>
    <w:rsid w:val="003053F5"/>
    <w:rsid w:val="00311DE0"/>
    <w:rsid w:val="00361365"/>
    <w:rsid w:val="00363536"/>
    <w:rsid w:val="00364E87"/>
    <w:rsid w:val="00367DAA"/>
    <w:rsid w:val="003833CA"/>
    <w:rsid w:val="003B2CDB"/>
    <w:rsid w:val="003D47B6"/>
    <w:rsid w:val="003E7C28"/>
    <w:rsid w:val="004247EC"/>
    <w:rsid w:val="00483FA7"/>
    <w:rsid w:val="004A220F"/>
    <w:rsid w:val="004A4B8E"/>
    <w:rsid w:val="004B657A"/>
    <w:rsid w:val="00525373"/>
    <w:rsid w:val="00531D91"/>
    <w:rsid w:val="00554E3E"/>
    <w:rsid w:val="0055571C"/>
    <w:rsid w:val="0059423D"/>
    <w:rsid w:val="005A558B"/>
    <w:rsid w:val="005D51C3"/>
    <w:rsid w:val="005F3F3E"/>
    <w:rsid w:val="0064410D"/>
    <w:rsid w:val="006468C8"/>
    <w:rsid w:val="00665405"/>
    <w:rsid w:val="00690608"/>
    <w:rsid w:val="006C674C"/>
    <w:rsid w:val="0071189E"/>
    <w:rsid w:val="007627E0"/>
    <w:rsid w:val="007B690D"/>
    <w:rsid w:val="00805306"/>
    <w:rsid w:val="008375C0"/>
    <w:rsid w:val="008516F1"/>
    <w:rsid w:val="00852467"/>
    <w:rsid w:val="008961BE"/>
    <w:rsid w:val="008A3100"/>
    <w:rsid w:val="008A790D"/>
    <w:rsid w:val="008C2D23"/>
    <w:rsid w:val="008C3784"/>
    <w:rsid w:val="008E0AB7"/>
    <w:rsid w:val="009342A4"/>
    <w:rsid w:val="009806C6"/>
    <w:rsid w:val="00980F2D"/>
    <w:rsid w:val="009D6BDA"/>
    <w:rsid w:val="009E79AB"/>
    <w:rsid w:val="00A049F9"/>
    <w:rsid w:val="00A22F1E"/>
    <w:rsid w:val="00A259E0"/>
    <w:rsid w:val="00A721CE"/>
    <w:rsid w:val="00A730F4"/>
    <w:rsid w:val="00AB53F6"/>
    <w:rsid w:val="00B17580"/>
    <w:rsid w:val="00B229B4"/>
    <w:rsid w:val="00B52D6C"/>
    <w:rsid w:val="00B52E04"/>
    <w:rsid w:val="00BA3897"/>
    <w:rsid w:val="00BB4D26"/>
    <w:rsid w:val="00C9751A"/>
    <w:rsid w:val="00CA3A31"/>
    <w:rsid w:val="00CC6A07"/>
    <w:rsid w:val="00CF5566"/>
    <w:rsid w:val="00D279B5"/>
    <w:rsid w:val="00D54516"/>
    <w:rsid w:val="00D60C7C"/>
    <w:rsid w:val="00DD7243"/>
    <w:rsid w:val="00DD72E0"/>
    <w:rsid w:val="00DE631E"/>
    <w:rsid w:val="00E1271E"/>
    <w:rsid w:val="00E27EB1"/>
    <w:rsid w:val="00E81A20"/>
    <w:rsid w:val="00EC746F"/>
    <w:rsid w:val="00EF765C"/>
    <w:rsid w:val="00F44016"/>
    <w:rsid w:val="00FB5873"/>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EABD6-09FB-4807-BCB4-2B20835E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30F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2F1E"/>
    <w:pPr>
      <w:ind w:left="720"/>
      <w:contextualSpacing/>
    </w:pPr>
  </w:style>
  <w:style w:type="paragraph" w:styleId="NormalWeb">
    <w:name w:val="Normal (Web)"/>
    <w:basedOn w:val="Normal"/>
    <w:uiPriority w:val="99"/>
    <w:unhideWhenUsed/>
    <w:rsid w:val="002574D0"/>
    <w:pPr>
      <w:spacing w:before="100" w:beforeAutospacing="1" w:after="100" w:afterAutospacing="1"/>
    </w:pPr>
    <w:rPr>
      <w:lang w:val="es-CU" w:eastAsia="es-CU"/>
    </w:rPr>
  </w:style>
  <w:style w:type="table" w:styleId="Tablaconcuadrcula">
    <w:name w:val="Table Grid"/>
    <w:basedOn w:val="Tablanormal"/>
    <w:rsid w:val="0083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1894</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TOSEKURA_Clínica japonesa</vt:lpstr>
    </vt:vector>
  </TitlesOfParts>
  <Company>LABASE</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TOSEKURA_Clínica japonesa</dc:title>
  <dc:subject/>
  <dc:creator>KIDS</dc:creator>
  <cp:keywords/>
  <dc:description/>
  <cp:lastModifiedBy>BabyYoda</cp:lastModifiedBy>
  <cp:revision>6</cp:revision>
  <cp:lastPrinted>2009-09-22T00:42:00Z</cp:lastPrinted>
  <dcterms:created xsi:type="dcterms:W3CDTF">2021-02-22T19:51:00Z</dcterms:created>
  <dcterms:modified xsi:type="dcterms:W3CDTF">2022-03-18T20:13:00Z</dcterms:modified>
</cp:coreProperties>
</file>