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La obra "El Capital" de Karl Marx sigue siendo fundamental para comprender las dinámicas del capitalismo contemporáneo. Su análisis de la explotación laboral y la plusvalía proporciona un marco teórico para abordar la precarización del trabajo y las condiciones laborales adversas que persisten hoy en día. La creciente desigualdad económica, acentuada por la globalización, refleja las críticas marxistas sobre la concentración de riqueza y el empobrecimiento de sectores amplios de la población.Además, las crisis cíclicas del capitalismo, evidenciadas en eventos como la crisis financiera de 2008 y las repercusiones económicas de la pandemia, encuentran eco en las teorías marxistas sobre las contradicciones del sistema. La obra de Marx también ha inspirado movimientos sociales que buscan alternativas al modelo capitalista, destacando su relevancia en el discurso político actual.Por último, su influencia se extiende a diversas disciplinas, enriqueciendo el análisis crítico en economía, sociología y teoría política."El Capital" continúa siendo una herramienta valiosa para entender y cuestionar las estructuras socioeconómicas contemporáneas.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159</Words>
  <Characters>994</Characters>
  <Application>WPS Office</Application>
  <Paragraphs>1</Paragraphs>
  <CharactersWithSpaces>1152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2025-03-22T16:08:39Z</dcterms:created>
  <dc:creator>SM-A135M</dc:creator>
  <lastModifiedBy>SM-A135M</lastModifiedBy>
  <dcterms:modified xsi:type="dcterms:W3CDTF">2025-03-22T16:08:54Z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ce1e9db23ea34a52973bcb4dfe5ecf28</vt:lpwstr>
  </property>
</Properties>
</file>