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>La obra de Carlos Marx, "El Capital", sigue siendo relevante en el análisis crítico del capitalismo contemporáneo. Su enfoque en la explotación laboral, la acumulación de capital y las crisis económicas proporciona herramientas para entender las desigualdades actuales. Aunque no es un manual de soluciones, su metodología invita a cuestionar las estructuras económicas y sociales vigentes. La vigencia de Marx radica en su capacidad para inspirar debates sobre justicia social y alternativas económicas, lo que lo convierte en un referente indispensable en el estudio de las dinámicas del poder y la economía en el siglo XXI.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96</Words>
  <Characters>531</Characters>
  <Application>WPS Office</Application>
  <Paragraphs>1</Paragraphs>
  <CharactersWithSpaces>626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2025-03-24T12:31:07Z</dcterms:created>
  <dc:creator>SM-A032F</dc:creator>
  <lastModifiedBy>SM-A032F</lastModifiedBy>
  <dcterms:modified xsi:type="dcterms:W3CDTF">2025-03-24T12:31:07Z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2230a2225e4843a0915b22814de77642</vt:lpwstr>
  </property>
</Properties>
</file>