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rPr>
          <w:lang w:val="en-US"/>
        </w:rPr>
        <w:t xml:space="preserve">El Capital de Marx, aunque escrito en el siglo XIX, ofrece un análisis aún relevante del capitalismo, destacando la plusvalía, la concentración del capital y las crisis inherentes al sistema. Si bien el capitalismo no ha colapsado como predijo, la obra sigue siendo valiosa para comprender la desigualdad, la alienación y las tensiones sociales. No obstante, es crucial actualizar su análisis considerando el papel del Estado, la complejidad de las clases sociales, la globalización, el impacto de la tecnología y las preocupaciones ambientales contemporáneas. El Capital estimula un pensamiento crítico necesario, más que ofrecer respuestas definitivas sobre los desafíos del capitalismo actual. De esta forma se ve la vigencia del Capital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Words>111</Words>
  <Characters>630</Characters>
  <Application>WPS Office</Application>
  <Paragraphs>1</Paragraphs>
  <CharactersWithSpaces>741</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2025-03-28T13:08:11Z</dcterms:created>
  <dc:creator>TECNO BG6</dc:creator>
  <lastModifiedBy>TECNO BG6</lastModifiedBy>
  <dcterms:modified xsi:type="dcterms:W3CDTF">2025-03-28T13:08:11Z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0c8bd8380eee4e5d8a367a1eb99d096f</vt:lpwstr>
  </property>
</Properties>
</file>